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276E82">
      <w:pPr>
        <w:spacing w:line="1417" w:lineRule="exact"/>
        <w:ind w:right="105" w:rightChars="50"/>
        <w:jc w:val="center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ФЕДЕРАЛЬНОЕ АГЕНТСТВО ПО ОБРАЗОВАНИЮ</w:t>
      </w:r>
    </w:p>
    <w:p w14:paraId="58C75315">
      <w:pPr>
        <w:jc w:val="center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Государственное образовательное учреждение высшего профессионального образования «Волгогрваский государственный педагогический университет»</w:t>
      </w:r>
    </w:p>
    <w:p w14:paraId="71CB2F0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428D44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Институт международного образования </w:t>
      </w:r>
    </w:p>
    <w:p w14:paraId="6BC3F42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Кафедра преподавания русского языка как иностранного</w:t>
      </w:r>
    </w:p>
    <w:p w14:paraId="149AC9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2167310">
      <w:pPr>
        <w:jc w:val="center"/>
        <w:rPr>
          <w:rFonts w:hint="default" w:ascii="Times New Roman" w:hAnsi="Times New Roman" w:eastAsia="HarmonyOS Sans SC" w:cs="Times New Roman"/>
          <w:b/>
          <w:bCs/>
          <w:i/>
          <w:iCs/>
          <w:sz w:val="32"/>
          <w:szCs w:val="32"/>
          <w:lang w:val="ru-RU"/>
        </w:rPr>
      </w:pPr>
      <w:r>
        <w:rPr>
          <w:rFonts w:hint="default" w:ascii="Times New Roman" w:hAnsi="Times New Roman" w:eastAsia="HarmonyOS Sans SC" w:cs="Times New Roman"/>
          <w:b/>
          <w:bCs/>
          <w:i/>
          <w:iCs/>
          <w:sz w:val="32"/>
          <w:szCs w:val="32"/>
          <w:highlight w:val="none"/>
          <w:lang w:val="ru-RU"/>
        </w:rPr>
        <w:t>Способы перевода фразеологизмов</w:t>
      </w:r>
      <w:r>
        <w:rPr>
          <w:rFonts w:hint="default" w:ascii="Times New Roman" w:hAnsi="Times New Roman" w:eastAsia="HarmonyOS Sans SC" w:cs="Times New Roman"/>
          <w:b/>
          <w:bCs/>
          <w:i/>
          <w:iCs/>
          <w:sz w:val="32"/>
          <w:szCs w:val="32"/>
          <w:lang w:val="ru-RU"/>
        </w:rPr>
        <w:t xml:space="preserve"> - шрифт</w:t>
      </w:r>
    </w:p>
    <w:p w14:paraId="0248E6BC">
      <w:pPr>
        <w:jc w:val="center"/>
        <w:rPr>
          <w:rFonts w:eastAsia="HarmonyOS Sans SC" w:cs="Times New Roman"/>
          <w:sz w:val="28"/>
          <w:szCs w:val="28"/>
          <w:lang w:val="ru-RU"/>
        </w:rPr>
      </w:pPr>
    </w:p>
    <w:p w14:paraId="41C87D6F">
      <w:pPr>
        <w:jc w:val="center"/>
        <w:rPr>
          <w:rFonts w:eastAsia="HarmonyOS Sans SC" w:cs="Times New Roman"/>
          <w:sz w:val="28"/>
          <w:szCs w:val="28"/>
          <w:lang w:val="ru-RU"/>
        </w:rPr>
      </w:pPr>
    </w:p>
    <w:p w14:paraId="4380DB93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Подготовил:</w:t>
      </w:r>
    </w:p>
    <w:p w14:paraId="4174757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Студент 2 курса группы РПБ-21</w:t>
      </w:r>
    </w:p>
    <w:p w14:paraId="2BCC0325">
      <w:pPr>
        <w:wordWrap w:val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 хунмин</w:t>
      </w:r>
    </w:p>
    <w:p w14:paraId="4CA167E6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Научный руководитель:</w:t>
      </w:r>
    </w:p>
    <w:p w14:paraId="0D3F864B">
      <w:pPr>
        <w:jc w:val="righ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старший преподаватель </w:t>
      </w:r>
    </w:p>
    <w:p w14:paraId="7B2C1713">
      <w:pPr>
        <w:jc w:val="righ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кафедры русского языка</w:t>
      </w:r>
    </w:p>
    <w:p w14:paraId="0DEAEAAB">
      <w:pPr>
        <w:jc w:val="righ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как иностранного</w:t>
      </w:r>
    </w:p>
    <w:p w14:paraId="69C4F202">
      <w:pPr>
        <w:jc w:val="righ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Брыкалин Aндрей Bладимирович</w:t>
      </w:r>
    </w:p>
    <w:p w14:paraId="379BE0FF">
      <w:pPr>
        <w:jc w:val="righ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</w:p>
    <w:p w14:paraId="6CEBCD1A">
      <w:pPr>
        <w:jc w:val="center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Boлrorpaд, 2025</w:t>
      </w:r>
      <w:bookmarkStart w:id="0" w:name="_GoBack"/>
      <w:bookmarkEnd w:id="0"/>
    </w:p>
    <w:p w14:paraId="3047C72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CAFB1D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B46E91E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A69CD1C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7EE814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3E1DC3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CA84B2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6518284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0090AD9">
      <w:pPr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ОГЛАВЛЕНИЕ</w:t>
      </w:r>
    </w:p>
    <w:p w14:paraId="65F1FB46">
      <w:pPr>
        <w:ind w:right="56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Введение</w:t>
      </w:r>
      <w:r>
        <w:rPr>
          <w:rFonts w:hint="default" w:ascii="Arial" w:hAnsi="Arial" w:cs="Arial"/>
          <w:sz w:val="28"/>
          <w:szCs w:val="28"/>
          <w:lang w:val="ru-RU"/>
        </w:rPr>
        <w:t>…………</w:t>
      </w:r>
      <w:r>
        <w:rPr>
          <w:rFonts w:hint="default" w:ascii="Arial" w:hAnsi="Arial" w:cs="Arial"/>
          <w:sz w:val="28"/>
          <w:szCs w:val="28"/>
          <w:lang w:val="ru-RU"/>
        </w:rPr>
        <w:t>……………………………………………………………2</w:t>
      </w:r>
    </w:p>
    <w:p w14:paraId="0B330A96">
      <w:pPr>
        <w:ind w:right="560"/>
        <w:rPr>
          <w:rFonts w:hint="default" w:ascii="Arial" w:hAnsi="Arial" w:cs="Arial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 1.Основные сложности перевода фразеологизмов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1</w:t>
      </w:r>
      <w:r>
        <w:rPr>
          <w:rFonts w:hint="default" w:ascii="Arial" w:hAnsi="Arial" w:cs="Arial"/>
          <w:sz w:val="28"/>
          <w:szCs w:val="28"/>
          <w:lang w:val="ru-RU"/>
        </w:rPr>
        <w:t>…………</w:t>
      </w:r>
      <w:r>
        <w:rPr>
          <w:rFonts w:hint="default" w:ascii="Arial" w:hAnsi="Arial" w:cs="Arial"/>
          <w:sz w:val="28"/>
          <w:szCs w:val="28"/>
          <w:lang w:val="en-US"/>
        </w:rPr>
        <w:t>.......5</w:t>
      </w:r>
    </w:p>
    <w:p w14:paraId="0F41A179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63DC47CB">
      <w:pPr>
        <w:ind w:right="560"/>
        <w:rPr>
          <w:rFonts w:hint="default" w:ascii="Arial" w:hAnsi="Arial" w:cs="Arial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 2. Основные стратегии перевода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2</w:t>
      </w:r>
      <w:r>
        <w:rPr>
          <w:rFonts w:hint="default" w:ascii="Arial" w:hAnsi="Arial" w:cs="Arial"/>
          <w:sz w:val="28"/>
          <w:szCs w:val="28"/>
          <w:lang w:val="ru-RU"/>
        </w:rPr>
        <w:t>………………………………</w:t>
      </w:r>
      <w:r>
        <w:rPr>
          <w:rFonts w:hint="default" w:ascii="Arial" w:hAnsi="Arial" w:cs="Arial"/>
          <w:sz w:val="28"/>
          <w:szCs w:val="28"/>
          <w:lang w:val="en-US"/>
        </w:rPr>
        <w:t>....6</w:t>
      </w:r>
    </w:p>
    <w:p w14:paraId="614DB3D6">
      <w:pPr>
        <w:ind w:right="560"/>
        <w:rPr>
          <w:rFonts w:hint="default" w:ascii="Arial" w:hAnsi="Arial" w:cs="Arial"/>
          <w:sz w:val="28"/>
          <w:szCs w:val="28"/>
          <w:lang w:val="en-US"/>
        </w:rPr>
      </w:pPr>
    </w:p>
    <w:p w14:paraId="716B5CB3">
      <w:pPr>
        <w:ind w:right="560"/>
        <w:rPr>
          <w:rFonts w:hint="default"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Заключение</w:t>
      </w:r>
      <w:r>
        <w:rPr>
          <w:rFonts w:hint="default" w:ascii="Arial" w:hAnsi="Arial" w:cs="Arial"/>
          <w:b w:val="0"/>
          <w:bCs w:val="0"/>
          <w:sz w:val="28"/>
          <w:szCs w:val="28"/>
          <w:lang w:val="ru-RU"/>
        </w:rPr>
        <w:t>………………………………</w:t>
      </w:r>
      <w:r>
        <w:rPr>
          <w:rFonts w:hint="default" w:ascii="Arial" w:hAnsi="Arial" w:cs="Arial"/>
          <w:b w:val="0"/>
          <w:bCs w:val="0"/>
          <w:sz w:val="28"/>
          <w:szCs w:val="28"/>
          <w:lang w:val="ru-RU"/>
        </w:rPr>
        <w:t>………………………………</w:t>
      </w:r>
      <w:r>
        <w:rPr>
          <w:rFonts w:hint="default" w:ascii="Arial" w:hAnsi="Arial" w:cs="Arial"/>
          <w:b w:val="0"/>
          <w:bCs w:val="0"/>
          <w:sz w:val="28"/>
          <w:szCs w:val="28"/>
          <w:lang w:val="en-US"/>
        </w:rPr>
        <w:t>.......8</w:t>
      </w:r>
    </w:p>
    <w:p w14:paraId="6A2DC1A1">
      <w:pPr>
        <w:ind w:right="56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Cambria" w:hAnsi="Cambria" w:eastAsia="汉仪书宋二简" w:cs="Arial"/>
          <w:b w:val="0"/>
          <w:bCs w:val="0"/>
          <w:sz w:val="28"/>
          <w:szCs w:val="28"/>
          <w:lang w:val="ru-RU" w:eastAsia="zh-CN"/>
        </w:rPr>
        <w:t>Список пспользованнои</w:t>
      </w:r>
      <w:r>
        <w:rPr>
          <w:rFonts w:hint="default" w:ascii="Cambria" w:hAnsi="Cambria" w:eastAsia="汉仪书宋二简" w:cs="Arial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default" w:ascii="Cambria" w:hAnsi="Cambria" w:eastAsia="汉仪书宋二简" w:cs="Arial"/>
          <w:b w:val="0"/>
          <w:bCs w:val="0"/>
          <w:sz w:val="28"/>
          <w:szCs w:val="28"/>
          <w:lang w:val="ru-RU" w:eastAsia="zh-CN"/>
        </w:rPr>
        <w:t>литературы</w:t>
      </w:r>
      <w:r>
        <w:rPr>
          <w:rFonts w:hint="default" w:ascii="Arial" w:hAnsi="Arial" w:eastAsia="汉仪书宋二简" w:cs="Arial"/>
          <w:b w:val="0"/>
          <w:bCs w:val="0"/>
          <w:sz w:val="28"/>
          <w:szCs w:val="28"/>
          <w:lang w:val="ru-RU" w:eastAsia="zh-CN"/>
        </w:rPr>
        <w:t>……………………………………</w:t>
      </w:r>
      <w:r>
        <w:rPr>
          <w:rFonts w:hint="default" w:ascii="Cambria" w:hAnsi="Cambria" w:eastAsia="汉仪书宋二简" w:cs="Arial"/>
          <w:b w:val="0"/>
          <w:bCs w:val="0"/>
          <w:sz w:val="28"/>
          <w:szCs w:val="28"/>
          <w:lang w:val="en-US" w:eastAsia="zh-CN"/>
        </w:rPr>
        <w:t>.10</w:t>
      </w:r>
    </w:p>
    <w:p w14:paraId="40F29408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27D7E99C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145DC89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2B765E0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38CA1DD4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1122AC4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7C68E23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5BC18C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715B6CAB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0412D9A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6441466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3737CD18">
      <w:pPr>
        <w:ind w:right="5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СПОСОБЫ ПЕРЕВОДА ФРАЗЕОЛОГИЗМОВ:</w:t>
      </w:r>
    </w:p>
    <w:p w14:paraId="72C3D11B">
      <w:pPr>
        <w:ind w:right="5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D39EC4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лингвистические и культурные аспекты</w:t>
      </w:r>
    </w:p>
    <w:p w14:paraId="122A0FD3">
      <w:pPr>
        <w:ind w:right="560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highlight w:val="yellow"/>
          <w:lang w:val="ru-RU"/>
        </w:rPr>
        <w:t>Введение</w:t>
      </w:r>
    </w:p>
    <w:p w14:paraId="72ADD5AF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highlight w:val="yellow"/>
          <w:lang w:val="ru-RU"/>
        </w:rPr>
        <w:t>Фразеологизмы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как устойчивые выражения языка, являются носителями культурного кода и исторического опыта народа. Их перевод представляет собой сложную задачу из-за сочетания семантической цельности, образности и культурной специфики. Цель данной работы — </w:t>
      </w:r>
      <w:r>
        <w:rPr>
          <w:rFonts w:hint="eastAsia" w:ascii="Times New Roman" w:hAnsi="Times New Roman" w:cs="Times New Roman"/>
          <w:sz w:val="28"/>
          <w:szCs w:val="28"/>
          <w:highlight w:val="yellow"/>
          <w:lang w:val="ru-RU"/>
        </w:rPr>
        <w:t>систематизировать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основные способы перевода фразеологизмов, проанализировать их эффективность на примере русско-китайских языковых пар и выделить критерии выбора оптимального метода.  </w:t>
      </w:r>
    </w:p>
    <w:p w14:paraId="11EB981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16361AB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34AAF9E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1E42DC1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601C31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CA5D1FA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5075130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3667B7A7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1A9E1E0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2D4B3122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Классификация способов перевода фразеологизмов  </w:t>
      </w:r>
    </w:p>
    <w:p w14:paraId="38A8A84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1.1. Дословный перевод (калькирование)  </w:t>
      </w:r>
    </w:p>
    <w:p w14:paraId="394BF40C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Суть: Сохранение оригинальной структуры и образа.  </w:t>
      </w:r>
    </w:p>
    <w:p w14:paraId="31DE44C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Пример:  </w:t>
      </w:r>
    </w:p>
    <w:p w14:paraId="3702618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- Рус. «белая ворона» → кит. «白乌鸦» (bái wūyā).  </w:t>
      </w:r>
    </w:p>
    <w:p w14:paraId="7163ADC9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eastAsia" w:ascii="Times New Roman" w:hAnsi="Times New Roman" w:cs="Times New Roman"/>
          <w:sz w:val="28"/>
          <w:szCs w:val="28"/>
          <w:highlight w:val="yellow"/>
          <w:lang w:val="ru-RU"/>
        </w:rPr>
        <w:t>Ограничения: Риск потери смысла, если образ не существует в целевой культуре (напр., рус. «водить за нос» → дословный перевод на китайский будет непонятен).</w:t>
      </w: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</w:t>
      </w:r>
    </w:p>
    <w:p w14:paraId="180EF800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1.2. Аналоговая замена  </w:t>
      </w:r>
    </w:p>
    <w:p w14:paraId="114CD4C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-Суть: Подбор эквивалента с тем же значением, но иным культурным образом.  </w:t>
      </w:r>
    </w:p>
    <w:p w14:paraId="4B8B48F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Пример:  </w:t>
      </w:r>
    </w:p>
    <w:p w14:paraId="397AAC1B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- Рус. «кот наплакал» → кит. «凤毛麟角» (fèng máo lín jiǎo — «перья феникса и рога единорога»).  </w:t>
      </w:r>
    </w:p>
    <w:p w14:paraId="32295E21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-Преимущество: Сохранение идиоматичности.  </w:t>
      </w:r>
    </w:p>
    <w:p w14:paraId="780CD50D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1.3. Описательный перевод  </w:t>
      </w:r>
    </w:p>
    <w:p w14:paraId="1F56555A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Суть: Передача смысла через пояснение.  </w:t>
      </w:r>
    </w:p>
    <w:p w14:paraId="4E151A7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Пример:  </w:t>
      </w:r>
    </w:p>
    <w:p w14:paraId="1AA5069F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- Рус. «ломать голову» → «долго и упорно размышлять» (кит. 苦思冥想, kǔ sī míng xiǎng).  </w:t>
      </w:r>
    </w:p>
    <w:p w14:paraId="47FBCEDD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Применение: Для фразеологизмов с уникальной культурной привязкой.  </w:t>
      </w:r>
    </w:p>
    <w:p w14:paraId="223BCA9B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1.4. Функциональный аналог </w:t>
      </w:r>
    </w:p>
    <w:p w14:paraId="6AD8595F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-Суть: Использование нейтрального выражения, передающего ту же функцию.  </w:t>
      </w:r>
    </w:p>
    <w:p w14:paraId="08E99324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Пример:  </w:t>
      </w:r>
    </w:p>
    <w:p w14:paraId="03BE88D9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- Рус. «бить баклуши» → кит. «无所事事» (wú suǒ shì shì — «ничего не делать»).  </w:t>
      </w:r>
    </w:p>
    <w:p w14:paraId="3F94AC39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1.5. Трансформация с комментарием  </w:t>
      </w:r>
    </w:p>
    <w:p w14:paraId="459FD3CF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Суть: Сочетание перевода и пояснения в сноске или скобках.  </w:t>
      </w:r>
    </w:p>
    <w:p w14:paraId="1F8D828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Пример:  </w:t>
      </w:r>
    </w:p>
    <w:p w14:paraId="12D4E56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-Рус. «положить в долгий ящик» → «отложить надолго (букв. «положить в длинный ящик», от традиции подачи челобитных при царе Алексее Михайловиче)».  </w:t>
      </w:r>
    </w:p>
    <w:p w14:paraId="0C70BBD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Культурные аспекты выбора способа</w:t>
      </w:r>
    </w:p>
    <w:p w14:paraId="5BE3F044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2.1. Учёт символики и коннотаций  </w:t>
      </w:r>
    </w:p>
    <w:p w14:paraId="5285388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Конфликт образов:  </w:t>
      </w:r>
    </w:p>
    <w:p w14:paraId="5BD61BA9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- Рус. «дать дуба» (умереть) vs. кит. «驾鹤西归» (jià hè xī guī — «улететь на журавле на запад»).  </w:t>
      </w:r>
    </w:p>
    <w:p w14:paraId="3FEFF7F7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-Решение: Использование аналоговой замены или описательного перевода.  </w:t>
      </w:r>
    </w:p>
    <w:p w14:paraId="740882D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2.2. Адаптация к целевой аудитории  </w:t>
      </w:r>
    </w:p>
    <w:p w14:paraId="05905038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Пример:  </w:t>
      </w:r>
    </w:p>
    <w:p w14:paraId="0C622D38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- Рус. «работать как лошадь» → кит. «老黄牛» (lǎo huáng niú — «старый желтый бык», символ усердия).  </w:t>
      </w:r>
    </w:p>
    <w:p w14:paraId="2D6D6BA7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Практический анализ: русско-китайские фразеологизмы </w:t>
      </w:r>
    </w:p>
    <w:p w14:paraId="59C7A2E2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|Русский фразеологизм      |Способ перевода          | Китайский эквивалент       |  </w:t>
      </w:r>
    </w:p>
    <w:p w14:paraId="5AC0A14D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|-------------------------------|-----------------------------|---------------------------------</w:t>
      </w:r>
    </w:p>
    <w:p w14:paraId="2AF8E1B6">
      <w:pPr>
        <w:ind w:right="560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| </w:t>
      </w:r>
      <w:r>
        <w:rPr>
          <w:rFonts w:hint="eastAsia" w:ascii="Times New Roman" w:hAnsi="Times New Roman" w:cs="Times New Roman"/>
          <w:sz w:val="28"/>
          <w:szCs w:val="28"/>
          <w:highlight w:val="yellow"/>
          <w:lang w:val="ru-RU"/>
        </w:rPr>
        <w:t xml:space="preserve">«Тянуть кота за хвост»     | Аналоговая замена       | «拖泥带水» (tuō ní dài shuǐ)    |  </w:t>
      </w:r>
    </w:p>
    <w:p w14:paraId="28F7DBAF">
      <w:pPr>
        <w:ind w:right="560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highlight w:val="yellow"/>
          <w:lang w:val="ru-RU"/>
        </w:rPr>
        <w:t xml:space="preserve">| «Семь пятниц на неделе»     | Трансформация + комментарий  | «朝三暮四» (zhāo sān mù sì) + пояснение |  </w:t>
      </w:r>
    </w:p>
    <w:p w14:paraId="47B396E0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highlight w:val="yellow"/>
          <w:lang w:val="ru-RU"/>
        </w:rPr>
        <w:t>| «Водить за нос»            | Функциональный аналог     | «忽悠» (hū yōu — «обманывать»)</w:t>
      </w: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</w:t>
      </w:r>
    </w:p>
    <w:p w14:paraId="4FAFE218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Критерии выбора способа перевода  </w:t>
      </w:r>
    </w:p>
    <w:p w14:paraId="2981A0F1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Цель текста:  </w:t>
      </w:r>
    </w:p>
    <w:p w14:paraId="6D07F871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- Художественный перевод → аналоговая замена.  </w:t>
      </w:r>
    </w:p>
    <w:p w14:paraId="65D2FE69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 - Технический текст → описательный перевод. </w:t>
      </w:r>
    </w:p>
    <w:p w14:paraId="6A76E99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Уровень знакомства аудитории с культурой оригинала:  </w:t>
      </w:r>
    </w:p>
    <w:p w14:paraId="6EED4CA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- Для узкой аудитории → калькирование с пояснением.  </w:t>
      </w:r>
    </w:p>
    <w:p w14:paraId="20A399D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Степень образности:  </w:t>
      </w:r>
    </w:p>
    <w:p w14:paraId="3F516C80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 xml:space="preserve">  -Высокая → сохранение образа через аналог.  </w:t>
      </w:r>
    </w:p>
    <w:p w14:paraId="31BC487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1F34A82B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224302B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158C47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575600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2F17D67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78C3D62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0606FD8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78B5159D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15B50C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6774E9FD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6963380A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5AB59F01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D20AFAF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4A411B4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FD17314">
      <w:pPr>
        <w:ind w:right="560"/>
        <w:rPr>
          <w:rFonts w:hint="eastAsia" w:ascii="Times New Roman" w:hAnsi="Times New Roman" w:cs="Times New Roman"/>
          <w:sz w:val="28"/>
          <w:szCs w:val="28"/>
          <w:lang w:val="ru-RU"/>
        </w:rPr>
      </w:pPr>
    </w:p>
    <w:p w14:paraId="4564B8B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>Заключение</w:t>
      </w:r>
    </w:p>
    <w:p w14:paraId="440E9487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eastAsia" w:ascii="Times New Roman" w:hAnsi="Times New Roman" w:cs="Times New Roman"/>
          <w:sz w:val="28"/>
          <w:szCs w:val="28"/>
          <w:lang w:val="ru-RU"/>
        </w:rPr>
        <w:t>Перевод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фразеологизмов требует не только лингвистической точности, но и культурной чуткости. Оптимальный способ перевода зависит от контекста, аудитории и цели коммуникации. Ключевым является гибкое комбинирование методов: от дословного воспроизведения до </w:t>
      </w:r>
      <w:r>
        <w:rPr>
          <w:rFonts w:hint="eastAsia" w:ascii="Times New Roman" w:hAnsi="Times New Roman" w:cs="Times New Roman"/>
          <w:sz w:val="28"/>
          <w:szCs w:val="28"/>
          <w:lang w:val="ru-RU"/>
        </w:rPr>
        <w:t>полной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трансформации образа. В условиях глобализации такие навыки становятся незаменимыми для преодоления межкультурных барьеров. </w:t>
      </w:r>
    </w:p>
    <w:p w14:paraId="7E64CF4A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7C713853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1E8ABE77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4BB9ADE0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2D5051A1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7D584C80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3F7BC17D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09BA9CF9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6E120C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1FCC0125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7A64073A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551599A0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551F454A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6A15240E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6B0D9461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</w:p>
    <w:p w14:paraId="5724B7A6">
      <w:pPr>
        <w:ind w:right="5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Список литератур </w:t>
      </w:r>
    </w:p>
    <w:p w14:paraId="36A6482D">
      <w:pPr>
        <w:ind w:right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Виноградов В.В. Основные понятия русской фразеологии. М</w:t>
      </w:r>
      <w:r>
        <w:rPr>
          <w:rFonts w:ascii="Times New Roman" w:hAnsi="Times New Roman" w:cs="Times New Roman"/>
          <w:sz w:val="28"/>
          <w:szCs w:val="28"/>
        </w:rPr>
        <w:t xml:space="preserve">., 2005.  </w:t>
      </w:r>
    </w:p>
    <w:p w14:paraId="242BBD44">
      <w:pPr>
        <w:ind w:right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Newmark P. A Textbook of Translation. Prentice Hall, 1988.  </w:t>
      </w:r>
    </w:p>
    <w:p w14:paraId="3D08A827">
      <w:pPr>
        <w:ind w:right="560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3. </w:t>
      </w:r>
      <w:r>
        <w:rPr>
          <w:rFonts w:hint="eastAsia" w:ascii="Times New Roman" w:hAnsi="Times New Roman" w:cs="Times New Roman"/>
          <w:sz w:val="28"/>
          <w:szCs w:val="28"/>
          <w:lang w:val="ru-RU"/>
        </w:rPr>
        <w:t>孙艺风</w:t>
      </w:r>
      <w:r>
        <w:rPr>
          <w:rFonts w:hint="eastAsia" w:ascii="Times New Roman" w:hAnsi="Times New Roman" w:cs="Times New Roman"/>
          <w:sz w:val="28"/>
          <w:szCs w:val="28"/>
        </w:rPr>
        <w:t xml:space="preserve">. </w:t>
      </w:r>
      <w:r>
        <w:rPr>
          <w:rFonts w:hint="eastAsia" w:ascii="Times New Roman" w:hAnsi="Times New Roman" w:cs="Times New Roman"/>
          <w:sz w:val="28"/>
          <w:szCs w:val="28"/>
          <w:lang w:val="ru-RU"/>
        </w:rPr>
        <w:t>《翻译与跨文化交际》</w:t>
      </w:r>
      <w:r>
        <w:rPr>
          <w:rFonts w:hint="eastAsia" w:ascii="Times New Roman" w:hAnsi="Times New Roman" w:cs="Times New Roman"/>
          <w:sz w:val="28"/>
          <w:szCs w:val="28"/>
        </w:rPr>
        <w:t xml:space="preserve">. </w:t>
      </w:r>
      <w:r>
        <w:rPr>
          <w:rFonts w:hint="eastAsia" w:ascii="Times New Roman" w:hAnsi="Times New Roman" w:cs="Times New Roman"/>
          <w:sz w:val="28"/>
          <w:szCs w:val="28"/>
          <w:lang w:val="ru-RU"/>
        </w:rPr>
        <w:t>北京</w:t>
      </w:r>
      <w:r>
        <w:rPr>
          <w:rFonts w:hint="eastAsia" w:ascii="Times New Roman" w:hAnsi="Times New Roman" w:cs="Times New Roman"/>
          <w:sz w:val="28"/>
          <w:szCs w:val="28"/>
        </w:rPr>
        <w:t xml:space="preserve">, 2010.  </w:t>
      </w:r>
    </w:p>
    <w:p w14:paraId="1027C0D4">
      <w:pPr>
        <w:ind w:right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Baker M. In Other Words: A Coursebook on Translation. Routledge, 2018.  </w:t>
      </w:r>
    </w:p>
    <w:p w14:paraId="601D44A1">
      <w:pPr>
        <w:ind w:right="560"/>
        <w:rPr>
          <w:rFonts w:ascii="Times New Roman" w:hAnsi="Times New Roman" w:cs="Times New Roman"/>
          <w:sz w:val="28"/>
          <w:szCs w:val="28"/>
        </w:rPr>
      </w:pPr>
    </w:p>
    <w:sectPr>
      <w:footerReference r:id="rId3" w:type="default"/>
      <w:pgSz w:w="11906" w:h="16838"/>
      <w:pgMar w:top="1440" w:right="567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2A29EAA-F995-47B5-8605-3369CFF4EC3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armonyOS Sans SC">
    <w:panose1 w:val="00000800000000000000"/>
    <w:charset w:val="86"/>
    <w:family w:val="auto"/>
    <w:pitch w:val="default"/>
    <w:sig w:usb0="00000001" w:usb1="08000000" w:usb2="00000016" w:usb3="00000000" w:csb0="00040001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2" w:fontKey="{BC2AD88A-93C9-4CE8-8508-8A16F1FF53B4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  <w:embedRegular r:id="rId3" w:fontKey="{9A3FC147-F34F-4AB3-B4D8-9A969B148365}"/>
  </w:font>
  <w:font w:name="汉仪书宋二简">
    <w:panose1 w:val="02010600000101010101"/>
    <w:charset w:val="86"/>
    <w:family w:val="auto"/>
    <w:pitch w:val="default"/>
    <w:sig w:usb0="00000001" w:usb1="080E0800" w:usb2="00000002" w:usb3="00000000" w:csb0="00040000" w:csb1="00000000"/>
    <w:embedRegular r:id="rId4" w:fontKey="{6DC26F2B-C687-4CF6-8DB0-5AEABD48DF2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FEB69">
    <w:pPr>
      <w:pStyle w:val="2"/>
      <w:jc w:val="center"/>
      <w:rPr>
        <w:rFonts w:ascii="Times New Roman" w:hAnsi="Times New Roman" w:cs="Times New Roman"/>
        <w:b/>
        <w:bCs/>
        <w:sz w:val="22"/>
        <w:szCs w:val="22"/>
        <w:lang w:val="ru-RU"/>
      </w:rPr>
    </w:pPr>
    <w:r>
      <w:rPr>
        <w:rFonts w:ascii="Times New Roman" w:hAnsi="Times New Roman" w:cs="Times New Roman"/>
        <w:b/>
        <w:bCs/>
        <w:sz w:val="22"/>
        <w:szCs w:val="22"/>
        <w:lang w:val="ru-RU"/>
      </w:rPr>
      <w:t>1</w:t>
    </w:r>
  </w:p>
  <w:p w14:paraId="5EF6FEB9">
    <w:pPr>
      <w:pStyle w:val="2"/>
      <w:jc w:val="center"/>
      <w:rPr>
        <w:rFonts w:ascii="Times New Roman" w:hAnsi="Times New Roman" w:cs="Times New Roman"/>
        <w:b/>
        <w:bCs/>
        <w:sz w:val="22"/>
        <w:szCs w:val="22"/>
        <w:lang w:val="ru-RU"/>
      </w:rPr>
    </w:pPr>
  </w:p>
  <w:p w14:paraId="4496E87B">
    <w:pPr>
      <w:pStyle w:val="2"/>
      <w:rPr>
        <w:rFonts w:ascii="Times New Roman" w:hAnsi="Times New Roman" w:cs="Times New Roman"/>
        <w:b/>
        <w:bCs/>
        <w:sz w:val="22"/>
        <w:szCs w:val="22"/>
        <w:lang w:val="ru-RU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7F0B"/>
    <w:rsid w:val="00027FCA"/>
    <w:rsid w:val="00096978"/>
    <w:rsid w:val="000C599E"/>
    <w:rsid w:val="00105654"/>
    <w:rsid w:val="001421EF"/>
    <w:rsid w:val="0019264E"/>
    <w:rsid w:val="002A6E77"/>
    <w:rsid w:val="00797454"/>
    <w:rsid w:val="00807F0B"/>
    <w:rsid w:val="00834979"/>
    <w:rsid w:val="00897433"/>
    <w:rsid w:val="009C4CC6"/>
    <w:rsid w:val="009E1C0C"/>
    <w:rsid w:val="00B62463"/>
    <w:rsid w:val="00D347CE"/>
    <w:rsid w:val="00F33390"/>
    <w:rsid w:val="625A3A90"/>
    <w:rsid w:val="7452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5572C-E361-4E51-B8E7-92F189210D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618</Words>
  <Characters>3717</Characters>
  <Lines>149</Lines>
  <Paragraphs>88</Paragraphs>
  <TotalTime>4</TotalTime>
  <ScaleCrop>false</ScaleCrop>
  <LinksUpToDate>false</LinksUpToDate>
  <CharactersWithSpaces>4385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2025-03-03T14:10:00Z</dcterms:created>
  <dc:creator>HUAWEI</dc:creator>
  <cp:lastModifiedBy>王翰石</cp:lastModifiedBy>
  <dcterms:modified xsi:type="dcterms:W3CDTF">2025-06-26T19:25:32Z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eyJoZGlkIjoiMGNlOTQwZmUwZTQzYWU4ODc3NjJlZTM4MWZhZmFlYzYiLCJ1c2VySWQiOiIxNDA5NTkxNTY1In0=</vt:lpwstr>
  </property>
  <property fmtid="{D5CDD505-2E9C-101B-9397-08002B2CF9AE}" pid="4" name="ICV">
    <vt:lpwstr>4A9ADF82328F4095A8BB70CD2DE7D118_12</vt:lpwstr>
  </property>
</Properties>
</file>