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2DD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</w:p>
    <w:p w:rsidR="00AE12DD" w:rsidRPr="00F47E68" w:rsidRDefault="00AE12DD" w:rsidP="00AE12DD">
      <w:pPr>
        <w:ind w:left="85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23.04.2020 </w:t>
      </w:r>
      <w:r w:rsidRPr="00F47E68">
        <w:rPr>
          <w:rFonts w:ascii="Times New Roman" w:hAnsi="Times New Roman"/>
          <w:b/>
          <w:bCs/>
          <w:sz w:val="28"/>
          <w:szCs w:val="28"/>
        </w:rPr>
        <w:t>Дисциплина: Методика организации и сопровождения молодежных проектов</w:t>
      </w:r>
    </w:p>
    <w:p w:rsidR="00AE12DD" w:rsidRPr="00122E32" w:rsidRDefault="00AE12DD" w:rsidP="00AE12DD">
      <w:pPr>
        <w:keepLines/>
        <w:widowControl w:val="0"/>
        <w:tabs>
          <w:tab w:val="left" w:pos="851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122E32">
        <w:rPr>
          <w:rFonts w:ascii="Times New Roman" w:hAnsi="Times New Roman"/>
          <w:b/>
          <w:sz w:val="28"/>
          <w:szCs w:val="28"/>
        </w:rPr>
        <w:t xml:space="preserve">Лабораторно-практическое занятие </w:t>
      </w:r>
    </w:p>
    <w:p w:rsidR="00AE12DD" w:rsidRPr="00122E32" w:rsidRDefault="00AE12DD" w:rsidP="00AE12DD">
      <w:pPr>
        <w:spacing w:line="240" w:lineRule="auto"/>
        <w:ind w:left="72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122E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Задание разместить в онлайн-группе  </w:t>
      </w:r>
      <w:hyperlink r:id="rId5" w:history="1">
        <w:r w:rsidRPr="00122E32">
          <w:rPr>
            <w:rFonts w:ascii="Times New Roman" w:hAnsi="Times New Roman"/>
            <w:color w:val="333333"/>
            <w:sz w:val="28"/>
            <w:szCs w:val="28"/>
            <w:shd w:val="clear" w:color="auto" w:fill="FFFFFF"/>
          </w:rPr>
          <w:t>СКП-СПБ-31 2019-20 уч.г. Методика организации и сопровождения молодежных проектов</w:t>
        </w:r>
      </w:hyperlink>
      <w:r w:rsidRPr="00122E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на платформе </w:t>
      </w:r>
      <w:proofErr w:type="spellStart"/>
      <w:r w:rsidRPr="00122E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edu.vspu</w:t>
      </w:r>
      <w:proofErr w:type="spellEnd"/>
      <w:r w:rsidRPr="00122E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 подписав файл своей фамилией, указав дату занятия («</w:t>
      </w:r>
      <w:proofErr w:type="spellStart"/>
      <w:r w:rsidRPr="00122E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Иванова_таблица</w:t>
      </w:r>
      <w:proofErr w:type="spellEnd"/>
      <w:r w:rsidRPr="00122E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23</w:t>
      </w:r>
      <w:bookmarkStart w:id="0" w:name="_GoBack"/>
      <w:bookmarkEnd w:id="0"/>
      <w:r w:rsidRPr="00122E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.04.20»</w:t>
      </w:r>
      <w:r w:rsidRPr="00F47E68">
        <w:rPr>
          <w:rFonts w:ascii="Times New Roman" w:hAnsi="Times New Roman"/>
          <w:bCs/>
          <w:i/>
          <w:sz w:val="28"/>
          <w:szCs w:val="28"/>
        </w:rPr>
        <w:t>)</w:t>
      </w:r>
      <w:r>
        <w:rPr>
          <w:rFonts w:ascii="Times New Roman" w:hAnsi="Times New Roman"/>
          <w:bCs/>
          <w:i/>
          <w:sz w:val="28"/>
          <w:szCs w:val="28"/>
        </w:rPr>
        <w:t>. Пройти можно по ссылке:</w:t>
      </w:r>
      <w:r w:rsidRPr="00F47E68">
        <w:rPr>
          <w:rFonts w:ascii="Times New Roman" w:hAnsi="Times New Roman"/>
          <w:bCs/>
          <w:i/>
          <w:sz w:val="28"/>
          <w:szCs w:val="28"/>
        </w:rPr>
        <w:t xml:space="preserve"> </w:t>
      </w:r>
      <w:hyperlink r:id="rId6" w:history="1">
        <w:r>
          <w:rPr>
            <w:rStyle w:val="a3"/>
          </w:rPr>
          <w:t>http://edu.vspu.ru/groups/skp-spb-31-2019-20-uch-g-metodika-organizatsii-i-soprovozhdeniya-molodezhnyih-proektov/</w:t>
        </w:r>
      </w:hyperlink>
    </w:p>
    <w:p w:rsidR="00AE12DD" w:rsidRPr="00F47E68" w:rsidRDefault="00AE12DD" w:rsidP="00AE12DD">
      <w:pPr>
        <w:spacing w:line="240" w:lineRule="auto"/>
        <w:ind w:left="851" w:firstLine="851"/>
        <w:jc w:val="both"/>
        <w:rPr>
          <w:rFonts w:ascii="Times New Roman" w:hAnsi="Times New Roman"/>
          <w:bCs/>
          <w:i/>
          <w:sz w:val="28"/>
          <w:szCs w:val="28"/>
        </w:rPr>
      </w:pPr>
      <w:r w:rsidRPr="00F47E68">
        <w:rPr>
          <w:rFonts w:ascii="Times New Roman" w:hAnsi="Times New Roman"/>
          <w:bCs/>
          <w:i/>
          <w:sz w:val="28"/>
          <w:szCs w:val="28"/>
        </w:rPr>
        <w:t>Объем – не более 1</w:t>
      </w:r>
      <w:r>
        <w:rPr>
          <w:rFonts w:ascii="Times New Roman" w:hAnsi="Times New Roman"/>
          <w:bCs/>
          <w:i/>
          <w:sz w:val="28"/>
          <w:szCs w:val="28"/>
        </w:rPr>
        <w:t>-2</w:t>
      </w:r>
      <w:r w:rsidRPr="00F47E68">
        <w:rPr>
          <w:rFonts w:ascii="Times New Roman" w:hAnsi="Times New Roman"/>
          <w:bCs/>
          <w:i/>
          <w:sz w:val="28"/>
          <w:szCs w:val="28"/>
        </w:rPr>
        <w:t xml:space="preserve"> страницы. Форма изложения – </w:t>
      </w:r>
      <w:r>
        <w:rPr>
          <w:rFonts w:ascii="Times New Roman" w:hAnsi="Times New Roman"/>
          <w:bCs/>
          <w:i/>
          <w:sz w:val="28"/>
          <w:szCs w:val="28"/>
        </w:rPr>
        <w:t>д</w:t>
      </w:r>
      <w:r w:rsidRPr="00F47E68">
        <w:rPr>
          <w:rFonts w:ascii="Times New Roman" w:hAnsi="Times New Roman"/>
          <w:bCs/>
          <w:i/>
          <w:sz w:val="28"/>
          <w:szCs w:val="28"/>
        </w:rPr>
        <w:t xml:space="preserve">окумент </w:t>
      </w:r>
      <w:r>
        <w:rPr>
          <w:rFonts w:ascii="Times New Roman" w:hAnsi="Times New Roman"/>
          <w:bCs/>
          <w:i/>
          <w:sz w:val="28"/>
          <w:szCs w:val="28"/>
        </w:rPr>
        <w:t xml:space="preserve">должен </w:t>
      </w:r>
      <w:r w:rsidRPr="00F47E68">
        <w:rPr>
          <w:rFonts w:ascii="Times New Roman" w:hAnsi="Times New Roman"/>
          <w:bCs/>
          <w:i/>
          <w:sz w:val="28"/>
          <w:szCs w:val="28"/>
        </w:rPr>
        <w:t xml:space="preserve">быть составлен как текст </w:t>
      </w:r>
      <w:proofErr w:type="spellStart"/>
      <w:r w:rsidRPr="00F47E68">
        <w:rPr>
          <w:rFonts w:ascii="Times New Roman" w:hAnsi="Times New Roman"/>
          <w:bCs/>
          <w:i/>
          <w:sz w:val="28"/>
          <w:szCs w:val="28"/>
        </w:rPr>
        <w:t>Word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. </w:t>
      </w:r>
      <w:r w:rsidRPr="00F47E68">
        <w:rPr>
          <w:rFonts w:ascii="Times New Roman" w:hAnsi="Times New Roman"/>
          <w:bCs/>
          <w:i/>
          <w:sz w:val="28"/>
          <w:szCs w:val="28"/>
        </w:rPr>
        <w:t>Все должно быть читаемо, файл должен открываться в стандартных настройках.</w:t>
      </w:r>
    </w:p>
    <w:p w:rsidR="00AE12DD" w:rsidRPr="00F47E68" w:rsidRDefault="00AE12DD" w:rsidP="00AE12DD">
      <w:pPr>
        <w:keepLines/>
        <w:widowControl w:val="0"/>
        <w:tabs>
          <w:tab w:val="left" w:pos="85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12DD" w:rsidRPr="00F47E68" w:rsidRDefault="00AE12DD" w:rsidP="00AE12DD">
      <w:pPr>
        <w:keepLines/>
        <w:widowControl w:val="0"/>
        <w:tabs>
          <w:tab w:val="left" w:pos="85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F47E68">
        <w:rPr>
          <w:rFonts w:ascii="Times New Roman" w:hAnsi="Times New Roman"/>
          <w:sz w:val="28"/>
          <w:szCs w:val="28"/>
        </w:rPr>
        <w:t>Задани</w:t>
      </w:r>
      <w:r>
        <w:rPr>
          <w:rFonts w:ascii="Times New Roman" w:hAnsi="Times New Roman"/>
          <w:sz w:val="28"/>
          <w:szCs w:val="28"/>
        </w:rPr>
        <w:t>е</w:t>
      </w:r>
      <w:r w:rsidRPr="00F47E68">
        <w:rPr>
          <w:rFonts w:ascii="Times New Roman" w:hAnsi="Times New Roman"/>
          <w:sz w:val="28"/>
          <w:szCs w:val="28"/>
        </w:rPr>
        <w:t>:</w:t>
      </w:r>
    </w:p>
    <w:p w:rsidR="00AE12DD" w:rsidRPr="00F47E68" w:rsidRDefault="00AE12DD" w:rsidP="00AE12DD">
      <w:pPr>
        <w:spacing w:line="240" w:lineRule="auto"/>
        <w:ind w:left="720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1.Провести анализ технологии сопровождения любого молодежного проекта, используя примерную схему (приложение 1). В качестве примера приведено описание технологии социализации (приложение 2).</w:t>
      </w:r>
    </w:p>
    <w:p w:rsidR="00AE12DD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Опорный материал: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Виды (направления) работ по психолого-педагогическому сопровождению молодежных проектов: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а) Профилактика.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б) Диагностика (индивидуальная и групповая (скрининг).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в) Консультирование (индивидуальное и групповое).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г) Развивающая работа (индивидуальная и групповая).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д) Коррекционная работа (индивидуальная и групповая).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е) Психологическое просвещение и образование: формирование психологической культуры, развитие психолого-педагогической компетентности учащихся, администрации образовательных учреждений, педагогов, родителей.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ж) Экспертиза (образовательных и учебных программ, проектов, пособий, образовательной среды, профессиональной деятельности специалистов образовательных учреждений).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Модель психолого-педагогического сопровождения участников образовательного процесса на основной ступени общего образования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 xml:space="preserve">Уровни психолого-педагогического сопровождения 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1. Индивидуальное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2. Групповое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lastRenderedPageBreak/>
        <w:t>3. На уровне класса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4. На уровне ОУ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1. Консультирование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2. Диагностика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3. Экспертиза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4. Профилактика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5. Просвещение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6. Развивающая работа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7. Коррекционная работа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Основные направления психолого-педагогического сопровождения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1. Сохранение и укрепление психологического здоровья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2. Мониторинг возможностей и способностей учащихся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3. Психолого-педагогическая поддержка участников олимпиадного движения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4. Формирование ценности здоровья и безопасного образа жизни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5. Выявление и поддержка детей с особыми образовательными потребностями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6. Обеспечение осознанного и ответственного выбора дальнейшей профессиональной сферы деятельности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7. Развитие экологической культуры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8. Выявление и поддержка одарённых детей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9. Формирование коммуникативных навыков в разновозрастной среде и среде сверстников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10. Поддержка детских объединений и ученического самоуправления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Литература: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>1. Александрова Е.А. Виды педагогической поддержки и сопровождения индивидуального образования http://www.isiksp.ru/library/aleksandrova_ea/aleks-000001.html</w:t>
      </w:r>
    </w:p>
    <w:p w:rsidR="00AE12DD" w:rsidRPr="00462C4C" w:rsidRDefault="00AE12DD" w:rsidP="00AE12DD">
      <w:pPr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462C4C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462C4C">
        <w:rPr>
          <w:rFonts w:ascii="Times New Roman" w:hAnsi="Times New Roman"/>
          <w:sz w:val="28"/>
          <w:szCs w:val="28"/>
        </w:rPr>
        <w:t>Глевицкая</w:t>
      </w:r>
      <w:proofErr w:type="spellEnd"/>
      <w:r w:rsidRPr="00462C4C">
        <w:rPr>
          <w:rFonts w:ascii="Times New Roman" w:hAnsi="Times New Roman"/>
          <w:sz w:val="28"/>
          <w:szCs w:val="28"/>
        </w:rPr>
        <w:t xml:space="preserve"> В.С. www.superinf.ru</w:t>
      </w:r>
    </w:p>
    <w:p w:rsidR="00AE12DD" w:rsidRDefault="00AE12DD" w:rsidP="00AE12DD">
      <w:pPr>
        <w:rPr>
          <w:rFonts w:ascii="Times New Roman" w:hAnsi="Times New Roman"/>
          <w:sz w:val="28"/>
          <w:szCs w:val="28"/>
        </w:rPr>
      </w:pPr>
    </w:p>
    <w:p w:rsidR="00AE12DD" w:rsidRDefault="00AE12DD" w:rsidP="00AE12DD">
      <w:pPr>
        <w:jc w:val="right"/>
        <w:rPr>
          <w:rFonts w:ascii="Times New Roman" w:hAnsi="Times New Roman"/>
          <w:sz w:val="28"/>
          <w:szCs w:val="28"/>
        </w:rPr>
      </w:pPr>
    </w:p>
    <w:p w:rsidR="00AE12DD" w:rsidRDefault="00AE12DD" w:rsidP="00AE12DD">
      <w:pPr>
        <w:jc w:val="right"/>
        <w:rPr>
          <w:rFonts w:ascii="Times New Roman" w:hAnsi="Times New Roman"/>
          <w:sz w:val="28"/>
          <w:szCs w:val="28"/>
        </w:rPr>
      </w:pPr>
    </w:p>
    <w:p w:rsidR="00AE12DD" w:rsidRPr="00D2068F" w:rsidRDefault="00AE12DD" w:rsidP="00AE12DD">
      <w:pPr>
        <w:jc w:val="right"/>
        <w:rPr>
          <w:rFonts w:ascii="Times New Roman" w:hAnsi="Times New Roman"/>
          <w:sz w:val="28"/>
          <w:szCs w:val="28"/>
        </w:rPr>
      </w:pPr>
      <w:r w:rsidRPr="00D2068F">
        <w:rPr>
          <w:rFonts w:ascii="Times New Roman" w:hAnsi="Times New Roman"/>
          <w:sz w:val="28"/>
          <w:szCs w:val="28"/>
        </w:rPr>
        <w:lastRenderedPageBreak/>
        <w:t>Приложение</w:t>
      </w:r>
      <w:proofErr w:type="gramStart"/>
      <w:r w:rsidRPr="00D2068F">
        <w:rPr>
          <w:rFonts w:ascii="Times New Roman" w:hAnsi="Times New Roman"/>
          <w:sz w:val="28"/>
          <w:szCs w:val="28"/>
        </w:rPr>
        <w:t>1</w:t>
      </w:r>
      <w:proofErr w:type="gramEnd"/>
    </w:p>
    <w:p w:rsidR="00AE12DD" w:rsidRPr="00462C4C" w:rsidRDefault="00AE12DD" w:rsidP="00AE12DD">
      <w:pPr>
        <w:spacing w:before="100" w:beforeAutospacing="1" w:after="100" w:afterAutospacing="1" w:line="240" w:lineRule="auto"/>
        <w:ind w:left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Примерная схема описания:</w:t>
      </w:r>
    </w:p>
    <w:p w:rsidR="00AE12DD" w:rsidRPr="00462C4C" w:rsidRDefault="00AE12DD" w:rsidP="00AE12DD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Название технологии.</w:t>
      </w:r>
      <w:r w:rsidRPr="00462C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>Оно может быть взято из прилагаемого списка технологий, а также может быть авторским.</w:t>
      </w:r>
    </w:p>
    <w:p w:rsidR="00AE12DD" w:rsidRPr="00462C4C" w:rsidRDefault="00AE12DD" w:rsidP="00AE12DD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Идентификация данной образовательной технологии (тип, вид).</w:t>
      </w:r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 xml:space="preserve"> Идентификация технологии проводится в соответствии с принятой классификацией, а именно: общепедагогические, </w:t>
      </w:r>
      <w:proofErr w:type="spellStart"/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>частнопредметные</w:t>
      </w:r>
      <w:proofErr w:type="spellEnd"/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 xml:space="preserve">, локальные. </w:t>
      </w:r>
    </w:p>
    <w:p w:rsidR="00AE12DD" w:rsidRPr="00462C4C" w:rsidRDefault="00AE12DD" w:rsidP="00AE12DD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Целевая установка технологии</w:t>
      </w:r>
      <w:r w:rsidRPr="00462C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>(при возможности вычленить ее концептуальную часть). Целевые установки технологии должны быть конструктивными и учитывать дифференцированный характер обучения, различные уровни усвоения и компетенции, которая она формирует. Концептуальная часть раскрывает основную идею технологии и способствует ее пониманию.</w:t>
      </w:r>
    </w:p>
    <w:p w:rsidR="00AE12DD" w:rsidRPr="00462C4C" w:rsidRDefault="00AE12DD" w:rsidP="00AE12DD">
      <w:pPr>
        <w:spacing w:after="0" w:line="240" w:lineRule="auto"/>
        <w:ind w:left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- Содержание, </w:t>
      </w:r>
      <w:r w:rsidRPr="00462C4C">
        <w:rPr>
          <w:rFonts w:ascii="Times New Roman" w:eastAsia="Times New Roman" w:hAnsi="Times New Roman"/>
          <w:bCs/>
          <w:sz w:val="28"/>
          <w:szCs w:val="28"/>
          <w:lang w:eastAsia="ru-RU"/>
        </w:rPr>
        <w:t>на котором данная технология может быть реализована.</w:t>
      </w:r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E12DD" w:rsidRPr="00462C4C" w:rsidRDefault="00AE12DD" w:rsidP="00AE12DD">
      <w:pPr>
        <w:spacing w:after="0" w:line="240" w:lineRule="auto"/>
        <w:ind w:left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>В этом пункте необходимо раскрыть, что составляет основу программно-методического обеспечения, в каких образовательных областях или в целом спектре преподаваемых предметов может быть реализована данная технология.</w:t>
      </w:r>
    </w:p>
    <w:p w:rsidR="00AE12DD" w:rsidRPr="00462C4C" w:rsidRDefault="00AE12DD" w:rsidP="00AE12DD">
      <w:pPr>
        <w:spacing w:after="0" w:line="240" w:lineRule="auto"/>
        <w:ind w:left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Используемые дидактические модели обучения.</w:t>
      </w:r>
      <w:r w:rsidRPr="00462C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>В педагогической литературе встречаются следующие дидактические модели обучения: репродуктивная, объяснительно-иллюстративная, поисковая, исследовательская, эвристическая и т.д.</w:t>
      </w:r>
    </w:p>
    <w:p w:rsidR="00AE12DD" w:rsidRPr="00462C4C" w:rsidRDefault="00AE12DD" w:rsidP="00AE12DD">
      <w:pPr>
        <w:spacing w:after="0" w:line="240" w:lineRule="auto"/>
        <w:ind w:left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Процессуальные характеристики технологии</w:t>
      </w:r>
      <w:r w:rsidRPr="00462C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 xml:space="preserve">(инвариантные педагогические средства данной технологии и способы их реализации) </w:t>
      </w:r>
    </w:p>
    <w:p w:rsidR="00AE12DD" w:rsidRPr="00462C4C" w:rsidRDefault="00AE12DD" w:rsidP="00AE12DD">
      <w:pPr>
        <w:spacing w:after="0" w:line="240" w:lineRule="auto"/>
        <w:ind w:left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процессуальной </w:t>
      </w:r>
      <w:proofErr w:type="gramStart"/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>характеристике</w:t>
      </w:r>
      <w:proofErr w:type="gramEnd"/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прежде всего выделяются инвариантные педагогические средства, которые являются основой данной технологии и характеризуют ее, устанавливаются оптимальные взаимосвязи и взаимозависимости между ними, показываются способы их реализации.</w:t>
      </w:r>
    </w:p>
    <w:p w:rsidR="00AE12DD" w:rsidRPr="00462C4C" w:rsidRDefault="00AE12DD" w:rsidP="00AE12DD">
      <w:pPr>
        <w:spacing w:after="0" w:line="240" w:lineRule="auto"/>
        <w:ind w:left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Достигаемые результаты.</w:t>
      </w:r>
    </w:p>
    <w:p w:rsidR="00AE12DD" w:rsidRPr="00462C4C" w:rsidRDefault="00AE12DD" w:rsidP="00AE12DD">
      <w:pPr>
        <w:spacing w:after="0" w:line="240" w:lineRule="auto"/>
        <w:ind w:left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2C4C">
        <w:rPr>
          <w:rFonts w:ascii="Times New Roman" w:eastAsia="Times New Roman" w:hAnsi="Times New Roman"/>
          <w:sz w:val="28"/>
          <w:szCs w:val="28"/>
          <w:lang w:eastAsia="ru-RU"/>
        </w:rPr>
        <w:t>Главным критерием оценки технологии является ее эффективность и результативность по отношению ко всем участникам образовательного процесса.</w:t>
      </w:r>
    </w:p>
    <w:p w:rsidR="00AE12DD" w:rsidRPr="00462C4C" w:rsidRDefault="00AE12DD" w:rsidP="00AE12DD">
      <w:pPr>
        <w:spacing w:after="0" w:line="240" w:lineRule="auto"/>
        <w:ind w:left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2DD" w:rsidRPr="00462C4C" w:rsidRDefault="00AE12DD" w:rsidP="00AE12DD">
      <w:pPr>
        <w:ind w:left="567"/>
        <w:rPr>
          <w:rFonts w:ascii="Times New Roman" w:hAnsi="Times New Roman"/>
          <w:sz w:val="28"/>
          <w:szCs w:val="28"/>
        </w:rPr>
      </w:pPr>
    </w:p>
    <w:p w:rsidR="00AE12DD" w:rsidRDefault="00AE12DD" w:rsidP="00AE12DD">
      <w:pPr>
        <w:rPr>
          <w:rFonts w:ascii="Times New Roman" w:hAnsi="Times New Roman"/>
          <w:sz w:val="28"/>
          <w:szCs w:val="28"/>
        </w:rPr>
      </w:pPr>
    </w:p>
    <w:p w:rsidR="00AE12DD" w:rsidRDefault="00AE12DD" w:rsidP="00AE12DD">
      <w:pPr>
        <w:rPr>
          <w:rFonts w:ascii="Times New Roman" w:hAnsi="Times New Roman"/>
          <w:sz w:val="28"/>
          <w:szCs w:val="28"/>
        </w:rPr>
      </w:pPr>
    </w:p>
    <w:p w:rsidR="00AE12DD" w:rsidRDefault="00AE12DD" w:rsidP="00AE12DD">
      <w:pPr>
        <w:rPr>
          <w:rFonts w:ascii="Times New Roman" w:hAnsi="Times New Roman"/>
          <w:sz w:val="28"/>
          <w:szCs w:val="28"/>
        </w:rPr>
      </w:pPr>
    </w:p>
    <w:p w:rsidR="00AE12DD" w:rsidRDefault="00AE12DD" w:rsidP="00AE12DD">
      <w:pPr>
        <w:rPr>
          <w:rFonts w:ascii="Times New Roman" w:hAnsi="Times New Roman"/>
          <w:sz w:val="24"/>
          <w:szCs w:val="24"/>
        </w:rPr>
      </w:pPr>
    </w:p>
    <w:p w:rsidR="00AE12DD" w:rsidRDefault="00AE12DD" w:rsidP="00AE12DD">
      <w:pPr>
        <w:jc w:val="right"/>
        <w:rPr>
          <w:rFonts w:ascii="Times New Roman" w:hAnsi="Times New Roman"/>
          <w:sz w:val="24"/>
          <w:szCs w:val="24"/>
        </w:rPr>
      </w:pPr>
    </w:p>
    <w:p w:rsidR="00AE12DD" w:rsidRDefault="00AE12DD" w:rsidP="00AE12DD">
      <w:pPr>
        <w:jc w:val="right"/>
        <w:rPr>
          <w:rFonts w:ascii="Times New Roman" w:hAnsi="Times New Roman"/>
          <w:sz w:val="24"/>
          <w:szCs w:val="24"/>
        </w:rPr>
      </w:pPr>
    </w:p>
    <w:p w:rsidR="00AE12DD" w:rsidRDefault="00AE12DD" w:rsidP="00AE12DD">
      <w:pPr>
        <w:jc w:val="right"/>
        <w:rPr>
          <w:rFonts w:ascii="Times New Roman" w:hAnsi="Times New Roman"/>
          <w:sz w:val="24"/>
          <w:szCs w:val="24"/>
        </w:rPr>
      </w:pPr>
    </w:p>
    <w:p w:rsidR="00AE12DD" w:rsidRDefault="00AE12DD" w:rsidP="00AE12DD">
      <w:pPr>
        <w:jc w:val="right"/>
        <w:rPr>
          <w:rFonts w:ascii="Times New Roman" w:hAnsi="Times New Roman"/>
          <w:sz w:val="24"/>
          <w:szCs w:val="24"/>
        </w:rPr>
      </w:pPr>
    </w:p>
    <w:p w:rsidR="00AE12DD" w:rsidRDefault="00AE12DD" w:rsidP="00AE12DD">
      <w:pPr>
        <w:jc w:val="right"/>
        <w:rPr>
          <w:rFonts w:ascii="Times New Roman" w:hAnsi="Times New Roman"/>
          <w:sz w:val="24"/>
          <w:szCs w:val="24"/>
        </w:rPr>
      </w:pPr>
    </w:p>
    <w:p w:rsidR="00AE12DD" w:rsidRPr="000975EC" w:rsidRDefault="00AE12DD" w:rsidP="00AE12D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proofErr w:type="gramStart"/>
      <w:r>
        <w:rPr>
          <w:rFonts w:ascii="Times New Roman" w:hAnsi="Times New Roman"/>
          <w:sz w:val="24"/>
          <w:szCs w:val="24"/>
        </w:rPr>
        <w:t>2</w:t>
      </w:r>
      <w:proofErr w:type="gramEnd"/>
      <w:r w:rsidRPr="000975EC">
        <w:rPr>
          <w:rFonts w:ascii="Times New Roman" w:hAnsi="Times New Roman"/>
          <w:sz w:val="24"/>
          <w:szCs w:val="24"/>
        </w:rPr>
        <w:tab/>
      </w:r>
    </w:p>
    <w:p w:rsidR="00AE12DD" w:rsidRPr="000975EC" w:rsidRDefault="00AE12DD" w:rsidP="00AE12D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975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Анализ технологии  в работе социального педагога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5386"/>
      </w:tblGrid>
      <w:tr w:rsidR="00AE12DD" w:rsidRPr="000975EC" w:rsidTr="00484568">
        <w:trPr>
          <w:trHeight w:val="418"/>
        </w:trPr>
        <w:tc>
          <w:tcPr>
            <w:tcW w:w="4820" w:type="dxa"/>
          </w:tcPr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Схема описания технологии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386" w:type="dxa"/>
          </w:tcPr>
          <w:p w:rsidR="00AE12DD" w:rsidRPr="000975EC" w:rsidRDefault="00AE12DD" w:rsidP="00484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Анализ используемой технологии</w:t>
            </w:r>
          </w:p>
        </w:tc>
      </w:tr>
      <w:tr w:rsidR="00AE12DD" w:rsidRPr="000975EC" w:rsidTr="00484568">
        <w:tc>
          <w:tcPr>
            <w:tcW w:w="4820" w:type="dxa"/>
          </w:tcPr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>Название технологии</w:t>
            </w: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</w:tc>
        <w:tc>
          <w:tcPr>
            <w:tcW w:w="5386" w:type="dxa"/>
          </w:tcPr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Технология социализации</w:t>
            </w:r>
          </w:p>
        </w:tc>
      </w:tr>
      <w:tr w:rsidR="00AE12DD" w:rsidRPr="000975EC" w:rsidTr="00484568">
        <w:tc>
          <w:tcPr>
            <w:tcW w:w="4820" w:type="dxa"/>
          </w:tcPr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>Идентификация данной образовательной технологии</w:t>
            </w: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(тип, вид). </w:t>
            </w:r>
          </w:p>
        </w:tc>
        <w:tc>
          <w:tcPr>
            <w:tcW w:w="5386" w:type="dxa"/>
          </w:tcPr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локальная</w:t>
            </w:r>
          </w:p>
        </w:tc>
      </w:tr>
      <w:tr w:rsidR="00AE12DD" w:rsidRPr="000975EC" w:rsidTr="00484568">
        <w:tc>
          <w:tcPr>
            <w:tcW w:w="4820" w:type="dxa"/>
          </w:tcPr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>Целевая установка технологии</w:t>
            </w: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(при возможности вычленить ее концептуальную часть). Целевые установки технологии должны быть конструктивными и учитывать дифференцированный характер обучения, различные уровни усвоения и компетенции, которая она формирует. Концептуальная часть раскрывает основную идею технологии и способствует ее пониманию.</w:t>
            </w:r>
          </w:p>
        </w:tc>
        <w:tc>
          <w:tcPr>
            <w:tcW w:w="5386" w:type="dxa"/>
          </w:tcPr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Развитие личности и ее способности к </w:t>
            </w:r>
            <w:proofErr w:type="spellStart"/>
            <w:r w:rsidRPr="000975EC">
              <w:rPr>
                <w:rFonts w:ascii="Times New Roman" w:eastAsia="Times New Roman" w:hAnsi="Times New Roman"/>
                <w:lang w:eastAsia="ru-RU"/>
              </w:rPr>
              <w:t>эмпатии</w:t>
            </w:r>
            <w:proofErr w:type="spellEnd"/>
            <w:r w:rsidRPr="000975EC">
              <w:rPr>
                <w:rFonts w:ascii="Times New Roman" w:eastAsia="Times New Roman" w:hAnsi="Times New Roman"/>
                <w:lang w:eastAsia="ru-RU"/>
              </w:rPr>
              <w:t>. учащегося. Данные технологии основываются на понимании того, что окружающая жизнь – лаборатория, в которой происходит процесс познания, необходимо  самообучение в процессе деятельности</w:t>
            </w:r>
          </w:p>
        </w:tc>
      </w:tr>
      <w:tr w:rsidR="00AE12DD" w:rsidRPr="000975EC" w:rsidTr="00484568">
        <w:tc>
          <w:tcPr>
            <w:tcW w:w="4820" w:type="dxa"/>
          </w:tcPr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>Содержание</w:t>
            </w: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, на котором данная технология может быть реализована. </w:t>
            </w:r>
          </w:p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В этом пункте необходимо раскрыть, что составляет основу программно-методического обеспечения, в каких образовательных областях или в целом спектре преподаваемых предметов может быть реализована данная технология</w:t>
            </w:r>
          </w:p>
        </w:tc>
        <w:tc>
          <w:tcPr>
            <w:tcW w:w="5386" w:type="dxa"/>
          </w:tcPr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Технология реализована на уроках самопознания и сотрудничества: «От сердца к сознанию, от сознания к взаимопониманию», курсе  «Трудности переходного </w:t>
            </w:r>
            <w:proofErr w:type="spellStart"/>
            <w:r w:rsidRPr="000975EC">
              <w:rPr>
                <w:rFonts w:ascii="Times New Roman" w:eastAsia="Times New Roman" w:hAnsi="Times New Roman"/>
                <w:lang w:eastAsia="ru-RU"/>
              </w:rPr>
              <w:t>возраста»</w:t>
            </w:r>
            <w:proofErr w:type="gramStart"/>
            <w:r w:rsidRPr="000975EC">
              <w:rPr>
                <w:rFonts w:ascii="Times New Roman" w:eastAsia="Times New Roman" w:hAnsi="Times New Roman"/>
                <w:lang w:eastAsia="ru-RU"/>
              </w:rPr>
              <w:t>.О</w:t>
            </w:r>
            <w:proofErr w:type="gramEnd"/>
            <w:r w:rsidRPr="000975EC">
              <w:rPr>
                <w:rFonts w:ascii="Times New Roman" w:eastAsia="Times New Roman" w:hAnsi="Times New Roman"/>
                <w:lang w:eastAsia="ru-RU"/>
              </w:rPr>
              <w:t>на</w:t>
            </w:r>
            <w:proofErr w:type="spellEnd"/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0975EC">
              <w:rPr>
                <w:rFonts w:ascii="Times New Roman" w:eastAsia="Times New Roman" w:hAnsi="Times New Roman"/>
                <w:lang w:eastAsia="ru-RU"/>
              </w:rPr>
              <w:t>согласуюется</w:t>
            </w:r>
            <w:proofErr w:type="spellEnd"/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с учебно-воспитательным процессом (Уроки чтения, классные часы, урока обществознания). Технология  основывается на сравнении поступков героев со своим  жизненным опытом личностным опытом, приобретенном в процессе изучения произведений литературы и общения с обществом </w:t>
            </w:r>
            <w:proofErr w:type="gramStart"/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( </w:t>
            </w:r>
            <w:proofErr w:type="gramEnd"/>
            <w:r w:rsidRPr="000975EC">
              <w:rPr>
                <w:rFonts w:ascii="Times New Roman" w:eastAsia="Times New Roman" w:hAnsi="Times New Roman"/>
                <w:lang w:eastAsia="ru-RU"/>
              </w:rPr>
              <w:t>Я - Сверстники_- Взрослые)</w:t>
            </w:r>
          </w:p>
        </w:tc>
      </w:tr>
      <w:tr w:rsidR="00AE12DD" w:rsidRPr="000975EC" w:rsidTr="00484568">
        <w:tc>
          <w:tcPr>
            <w:tcW w:w="4820" w:type="dxa"/>
          </w:tcPr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>Используемые дидактические модели обучения</w:t>
            </w:r>
            <w:r w:rsidRPr="000975EC">
              <w:rPr>
                <w:rFonts w:ascii="Times New Roman" w:eastAsia="Times New Roman" w:hAnsi="Times New Roman"/>
                <w:lang w:eastAsia="ru-RU"/>
              </w:rPr>
              <w:t>. В педагогической литературе встречаются следующие дидактические модели обучения: репродуктивная,  поисковая, исследовательская, эвристическая и т.д.</w:t>
            </w:r>
          </w:p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386" w:type="dxa"/>
          </w:tcPr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- умение разрешения задач-ситуаций;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- умения и навыки мировоззренческой ориентировки;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- знания и умения в учебно-познавательной, информационной, социально-трудовой сферах;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- духовное и интеллектуальное саморазвитие;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- коммуникативные навыки;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- навыки социализации;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- навыки адаптации к условиям среды;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- приобщение к нормам и ценностям общества;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- умения и навыки мировоззренческой ориентировки;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- умение имитационного моделирования жизненных ситуаций.</w:t>
            </w:r>
          </w:p>
        </w:tc>
      </w:tr>
      <w:tr w:rsidR="00AE12DD" w:rsidRPr="000975EC" w:rsidTr="00484568">
        <w:tc>
          <w:tcPr>
            <w:tcW w:w="4820" w:type="dxa"/>
          </w:tcPr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>Процессуальные характеристики технологии</w:t>
            </w: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(инвариантные педагогические средства данной технологии и способы их реализации) </w:t>
            </w:r>
          </w:p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386" w:type="dxa"/>
          </w:tcPr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Особое построение занятий: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proofErr w:type="spellStart"/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>Психогимнастические</w:t>
            </w:r>
            <w:proofErr w:type="spellEnd"/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 xml:space="preserve"> упражнения</w:t>
            </w: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. Занятие </w:t>
            </w:r>
            <w:proofErr w:type="gramStart"/>
            <w:r w:rsidRPr="000975EC">
              <w:rPr>
                <w:rFonts w:ascii="Times New Roman" w:eastAsia="Times New Roman" w:hAnsi="Times New Roman"/>
                <w:lang w:eastAsia="ru-RU"/>
              </w:rPr>
              <w:t>начинается</w:t>
            </w:r>
            <w:proofErr w:type="gramEnd"/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и заканчиваются </w:t>
            </w:r>
            <w:proofErr w:type="spellStart"/>
            <w:r w:rsidRPr="000975EC">
              <w:rPr>
                <w:rFonts w:ascii="Times New Roman" w:eastAsia="Times New Roman" w:hAnsi="Times New Roman"/>
                <w:lang w:eastAsia="ru-RU"/>
              </w:rPr>
              <w:t>психогимнастикой</w:t>
            </w:r>
            <w:proofErr w:type="spellEnd"/>
            <w:r w:rsidRPr="000975EC">
              <w:rPr>
                <w:rFonts w:ascii="Times New Roman" w:eastAsia="Times New Roman" w:hAnsi="Times New Roman"/>
                <w:lang w:eastAsia="ru-RU"/>
              </w:rPr>
              <w:t>, настраивающей детей на позитивную деятельность в начале и расслабляющей в завершении работы.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>Мотивация.</w:t>
            </w: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Учащиеся посредством анализа эпиграфа к занятию определяют тему  урока. Цель – сфокусировать внимание </w:t>
            </w:r>
            <w:proofErr w:type="gramStart"/>
            <w:r w:rsidRPr="000975EC">
              <w:rPr>
                <w:rFonts w:ascii="Times New Roman" w:eastAsia="Times New Roman" w:hAnsi="Times New Roman"/>
                <w:lang w:eastAsia="ru-RU"/>
              </w:rPr>
              <w:t>обучающихся</w:t>
            </w:r>
            <w:proofErr w:type="gramEnd"/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на проблеме и вызвать интерес к обсуждаемой проблеме.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>- Интерактивные упражнения</w:t>
            </w: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– центральная часть занятия. Цел</w:t>
            </w:r>
            <w:proofErr w:type="gramStart"/>
            <w:r w:rsidRPr="000975EC">
              <w:rPr>
                <w:rFonts w:ascii="Times New Roman" w:eastAsia="Times New Roman" w:hAnsi="Times New Roman"/>
                <w:lang w:eastAsia="ru-RU"/>
              </w:rPr>
              <w:t>ь-</w:t>
            </w:r>
            <w:proofErr w:type="gramEnd"/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учащимся достаточно небольшого количества информации, для того, чтобы выполнять практические задачи в ходе ролевых игр, инсценированных упражнений, имитации, моделирование проблемных ситуации.</w:t>
            </w:r>
          </w:p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Pr="000975EC">
              <w:rPr>
                <w:rFonts w:ascii="Times New Roman" w:eastAsia="Times New Roman" w:hAnsi="Times New Roman"/>
                <w:b/>
                <w:lang w:eastAsia="ru-RU"/>
              </w:rPr>
              <w:t>Рефлексия –</w:t>
            </w:r>
            <w:r w:rsidRPr="000975EC">
              <w:rPr>
                <w:rFonts w:ascii="Times New Roman" w:eastAsia="Times New Roman" w:hAnsi="Times New Roman"/>
                <w:lang w:eastAsia="ru-RU"/>
              </w:rPr>
              <w:t xml:space="preserve"> Ключевой вопрос «Как это пригодится в жизни?»</w:t>
            </w:r>
          </w:p>
        </w:tc>
      </w:tr>
      <w:tr w:rsidR="00AE12DD" w:rsidRPr="000975EC" w:rsidTr="00484568">
        <w:tc>
          <w:tcPr>
            <w:tcW w:w="4820" w:type="dxa"/>
          </w:tcPr>
          <w:p w:rsidR="00AE12DD" w:rsidRPr="000975EC" w:rsidRDefault="00AE12DD" w:rsidP="0048456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Достигаемые результаты.</w:t>
            </w:r>
          </w:p>
        </w:tc>
        <w:tc>
          <w:tcPr>
            <w:tcW w:w="5386" w:type="dxa"/>
          </w:tcPr>
          <w:p w:rsidR="00AE12DD" w:rsidRPr="000975EC" w:rsidRDefault="00AE12DD" w:rsidP="004845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975EC">
              <w:rPr>
                <w:rFonts w:ascii="Times New Roman" w:eastAsia="Times New Roman" w:hAnsi="Times New Roman"/>
                <w:lang w:eastAsia="ru-RU"/>
              </w:rPr>
              <w:t>Развитие социально-активной личности, социализация личности</w:t>
            </w:r>
          </w:p>
        </w:tc>
      </w:tr>
    </w:tbl>
    <w:p w:rsidR="00AE12DD" w:rsidRPr="00D2068F" w:rsidRDefault="00AE12DD" w:rsidP="00AE12D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2579" w:rsidRDefault="00922579"/>
    <w:sectPr w:rsidR="00922579" w:rsidSect="000975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2DD"/>
    <w:rsid w:val="00922579"/>
    <w:rsid w:val="00AE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2D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E12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2D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E12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du.vspu.ru/groups/skp-spb-31-2019-20-uch-g-metodika-organizatsii-i-soprovozhdeniya-molodezhnyih-proektov/" TargetMode="External"/><Relationship Id="rId5" Type="http://schemas.openxmlformats.org/officeDocument/2006/relationships/hyperlink" Target="http://edu.vspu.ru/groups/skp-spb-31-2019-20-uch-g-metodika-organizatsii-i-soprovozhdeniya-molodezhnyih-proekt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dcterms:created xsi:type="dcterms:W3CDTF">2020-04-14T19:06:00Z</dcterms:created>
  <dcterms:modified xsi:type="dcterms:W3CDTF">2020-04-14T19:08:00Z</dcterms:modified>
</cp:coreProperties>
</file>