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92A" w:rsidRPr="004A3FA1" w:rsidRDefault="0071792A" w:rsidP="007179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06</w:t>
      </w:r>
      <w:r w:rsidRPr="004A3FA1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4A3FA1">
        <w:rPr>
          <w:rFonts w:ascii="Times New Roman" w:hAnsi="Times New Roman" w:cs="Times New Roman"/>
          <w:b/>
          <w:sz w:val="24"/>
          <w:szCs w:val="24"/>
        </w:rPr>
        <w:t>.2020  Дисциплина «Ландшафтная архитектура и основы композиции»</w:t>
      </w:r>
    </w:p>
    <w:p w:rsidR="0071792A" w:rsidRPr="004A3FA1" w:rsidRDefault="0071792A" w:rsidP="0071792A">
      <w:pPr>
        <w:rPr>
          <w:rFonts w:ascii="Times New Roman" w:hAnsi="Times New Roman" w:cs="Times New Roman"/>
          <w:b/>
          <w:sz w:val="24"/>
          <w:szCs w:val="24"/>
        </w:rPr>
      </w:pPr>
      <w:r w:rsidRPr="004A3FA1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2E0BFB">
        <w:rPr>
          <w:rFonts w:ascii="Times New Roman" w:hAnsi="Times New Roman" w:cs="Times New Roman"/>
          <w:b/>
          <w:sz w:val="24"/>
          <w:szCs w:val="24"/>
        </w:rPr>
        <w:t>Пропорции и масштабность</w:t>
      </w:r>
    </w:p>
    <w:p w:rsidR="0071792A" w:rsidRPr="004A3FA1" w:rsidRDefault="0071792A" w:rsidP="0071792A">
      <w:p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b/>
          <w:sz w:val="24"/>
          <w:szCs w:val="24"/>
        </w:rPr>
        <w:t>Цель</w:t>
      </w:r>
      <w:proofErr w:type="gramStart"/>
      <w:r w:rsidRPr="004A3FA1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Изучить основные понятия метро</w:t>
      </w:r>
      <w:r w:rsidRPr="004A3FA1">
        <w:rPr>
          <w:rFonts w:ascii="Times New Roman" w:hAnsi="Times New Roman" w:cs="Times New Roman"/>
          <w:sz w:val="24"/>
          <w:szCs w:val="24"/>
        </w:rPr>
        <w:t>ритмической закономерности в объемной композиции:</w:t>
      </w:r>
    </w:p>
    <w:p w:rsidR="0071792A" w:rsidRPr="004A3FA1" w:rsidRDefault="002E0BFB" w:rsidP="007179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Простые пропорциональные соотношения</w:t>
      </w:r>
    </w:p>
    <w:p w:rsidR="002E0BFB" w:rsidRDefault="002E0BFB" w:rsidP="007179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E0BFB">
        <w:rPr>
          <w:rFonts w:ascii="Times New Roman" w:hAnsi="Times New Roman" w:cs="Times New Roman"/>
          <w:sz w:val="24"/>
          <w:szCs w:val="24"/>
        </w:rPr>
        <w:t>Пропорционирование</w:t>
      </w:r>
      <w:proofErr w:type="spellEnd"/>
      <w:r w:rsidRPr="002E0BFB">
        <w:rPr>
          <w:rFonts w:ascii="Times New Roman" w:hAnsi="Times New Roman" w:cs="Times New Roman"/>
          <w:sz w:val="24"/>
          <w:szCs w:val="24"/>
        </w:rPr>
        <w:t xml:space="preserve">  на основе подобия форм</w:t>
      </w:r>
    </w:p>
    <w:p w:rsidR="0071792A" w:rsidRPr="002E0BFB" w:rsidRDefault="002E0BFB" w:rsidP="007179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E0BFB">
        <w:rPr>
          <w:rFonts w:ascii="Times New Roman" w:hAnsi="Times New Roman" w:cs="Times New Roman"/>
          <w:sz w:val="24"/>
          <w:szCs w:val="24"/>
        </w:rPr>
        <w:t>Пропорции «Золотого сечения»</w:t>
      </w:r>
    </w:p>
    <w:p w:rsidR="0071792A" w:rsidRPr="004A3FA1" w:rsidRDefault="002E0BFB" w:rsidP="007179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Масштабность композиции</w:t>
      </w:r>
      <w:r w:rsidR="0071792A" w:rsidRPr="004A3FA1">
        <w:rPr>
          <w:rFonts w:ascii="Times New Roman" w:hAnsi="Times New Roman" w:cs="Times New Roman"/>
          <w:sz w:val="24"/>
          <w:szCs w:val="24"/>
        </w:rPr>
        <w:t>.</w:t>
      </w:r>
    </w:p>
    <w:p w:rsidR="0071792A" w:rsidRPr="004A3FA1" w:rsidRDefault="0071792A" w:rsidP="007179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792A" w:rsidRPr="004A3FA1" w:rsidRDefault="0071792A" w:rsidP="0071792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A3FA1">
        <w:rPr>
          <w:rFonts w:ascii="Times New Roman" w:hAnsi="Times New Roman" w:cs="Times New Roman"/>
          <w:b/>
          <w:sz w:val="24"/>
          <w:szCs w:val="24"/>
        </w:rPr>
        <w:t xml:space="preserve">Вопросы для обсуждения: </w:t>
      </w:r>
    </w:p>
    <w:p w:rsidR="0071792A" w:rsidRPr="004A3FA1" w:rsidRDefault="0071792A" w:rsidP="007179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 xml:space="preserve">Как </w:t>
      </w:r>
      <w:r w:rsidR="007E428C">
        <w:rPr>
          <w:rFonts w:ascii="Times New Roman" w:hAnsi="Times New Roman" w:cs="Times New Roman"/>
          <w:sz w:val="24"/>
          <w:szCs w:val="24"/>
        </w:rPr>
        <w:t xml:space="preserve">влияют законы </w:t>
      </w:r>
      <w:proofErr w:type="spellStart"/>
      <w:r w:rsidR="007E428C">
        <w:rPr>
          <w:rFonts w:ascii="Times New Roman" w:hAnsi="Times New Roman" w:cs="Times New Roman"/>
          <w:sz w:val="24"/>
          <w:szCs w:val="24"/>
        </w:rPr>
        <w:t>пропорционирования</w:t>
      </w:r>
      <w:proofErr w:type="spellEnd"/>
      <w:r w:rsidR="007E428C">
        <w:rPr>
          <w:rFonts w:ascii="Times New Roman" w:hAnsi="Times New Roman" w:cs="Times New Roman"/>
          <w:sz w:val="24"/>
          <w:szCs w:val="24"/>
        </w:rPr>
        <w:t xml:space="preserve"> на восприятие ландшафтных объектов</w:t>
      </w:r>
      <w:r w:rsidRPr="004A3FA1">
        <w:rPr>
          <w:rFonts w:ascii="Times New Roman" w:hAnsi="Times New Roman" w:cs="Times New Roman"/>
          <w:sz w:val="24"/>
          <w:szCs w:val="24"/>
        </w:rPr>
        <w:t>?</w:t>
      </w:r>
    </w:p>
    <w:p w:rsidR="0071792A" w:rsidRPr="004A3FA1" w:rsidRDefault="007E428C" w:rsidP="007179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Приведите примеры подобия форм в ландшафтной композиции.</w:t>
      </w:r>
    </w:p>
    <w:p w:rsidR="0071792A" w:rsidRPr="004A3FA1" w:rsidRDefault="0071792A" w:rsidP="007179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 xml:space="preserve">Как </w:t>
      </w:r>
      <w:r w:rsidR="007E428C">
        <w:rPr>
          <w:rFonts w:ascii="Times New Roman" w:hAnsi="Times New Roman" w:cs="Times New Roman"/>
          <w:sz w:val="24"/>
          <w:szCs w:val="24"/>
        </w:rPr>
        <w:t>проявляется в композиции масштабность и пропорциональность</w:t>
      </w:r>
      <w:r w:rsidRPr="004A3FA1">
        <w:rPr>
          <w:rFonts w:ascii="Times New Roman" w:hAnsi="Times New Roman" w:cs="Times New Roman"/>
          <w:sz w:val="24"/>
          <w:szCs w:val="24"/>
        </w:rPr>
        <w:t>?</w:t>
      </w:r>
    </w:p>
    <w:p w:rsidR="0071792A" w:rsidRDefault="0071792A" w:rsidP="007179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792A" w:rsidRDefault="0071792A" w:rsidP="007179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792A" w:rsidRPr="004A3FA1" w:rsidRDefault="0071792A" w:rsidP="0071792A">
      <w:pPr>
        <w:pStyle w:val="a3"/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b/>
          <w:sz w:val="24"/>
          <w:szCs w:val="24"/>
        </w:rPr>
        <w:t>Задания СРС:</w:t>
      </w:r>
      <w:r w:rsidRPr="004A3FA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C23CA0" w:rsidRDefault="00C23CA0" w:rsidP="00C23C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Сделать графические эскизы композиции по теме в квадратах 7*7 см по теме занятия. Оформить тушью. Формат для выполнения задания А-4, оформление листа по ГОСТУ.  </w:t>
      </w:r>
    </w:p>
    <w:p w:rsidR="0071792A" w:rsidRPr="004A3FA1" w:rsidRDefault="0071792A" w:rsidP="00C23C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 xml:space="preserve">Смоделировать </w:t>
      </w:r>
      <w:r w:rsidR="007E428C">
        <w:rPr>
          <w:rFonts w:ascii="Times New Roman" w:hAnsi="Times New Roman" w:cs="Times New Roman"/>
          <w:sz w:val="24"/>
          <w:szCs w:val="24"/>
        </w:rPr>
        <w:t xml:space="preserve"> композицию из геометрических тел на основе подобия и основных законов </w:t>
      </w:r>
      <w:proofErr w:type="spellStart"/>
      <w:r w:rsidR="007E428C">
        <w:rPr>
          <w:rFonts w:ascii="Times New Roman" w:hAnsi="Times New Roman" w:cs="Times New Roman"/>
          <w:sz w:val="24"/>
          <w:szCs w:val="24"/>
        </w:rPr>
        <w:t>пропорционирования</w:t>
      </w:r>
      <w:proofErr w:type="spellEnd"/>
      <w:r w:rsidR="007E428C">
        <w:rPr>
          <w:rFonts w:ascii="Times New Roman" w:hAnsi="Times New Roman" w:cs="Times New Roman"/>
          <w:sz w:val="24"/>
          <w:szCs w:val="24"/>
        </w:rPr>
        <w:t xml:space="preserve">. В композиции сочетается несколько подобных геометрических тел, объединенных в одну объемную композицию. Работа закрепляется на </w:t>
      </w:r>
      <w:proofErr w:type="spellStart"/>
      <w:r w:rsidR="007E428C">
        <w:rPr>
          <w:rFonts w:ascii="Times New Roman" w:hAnsi="Times New Roman" w:cs="Times New Roman"/>
          <w:sz w:val="24"/>
          <w:szCs w:val="24"/>
        </w:rPr>
        <w:t>подмакетн</w:t>
      </w:r>
      <w:r w:rsidR="00C23CA0">
        <w:rPr>
          <w:rFonts w:ascii="Times New Roman" w:hAnsi="Times New Roman" w:cs="Times New Roman"/>
          <w:sz w:val="24"/>
          <w:szCs w:val="24"/>
        </w:rPr>
        <w:t>и</w:t>
      </w:r>
      <w:r w:rsidR="007E428C">
        <w:rPr>
          <w:rFonts w:ascii="Times New Roman" w:hAnsi="Times New Roman" w:cs="Times New Roman"/>
          <w:sz w:val="24"/>
          <w:szCs w:val="24"/>
        </w:rPr>
        <w:t>ке</w:t>
      </w:r>
      <w:proofErr w:type="spellEnd"/>
      <w:r w:rsidR="00C23CA0">
        <w:rPr>
          <w:rFonts w:ascii="Times New Roman" w:hAnsi="Times New Roman" w:cs="Times New Roman"/>
          <w:sz w:val="24"/>
          <w:szCs w:val="24"/>
        </w:rPr>
        <w:t xml:space="preserve">. Общая высота макета не более15 см. Ширина </w:t>
      </w:r>
      <w:proofErr w:type="spellStart"/>
      <w:r w:rsidR="00C23CA0">
        <w:rPr>
          <w:rFonts w:ascii="Times New Roman" w:hAnsi="Times New Roman" w:cs="Times New Roman"/>
          <w:sz w:val="24"/>
          <w:szCs w:val="24"/>
        </w:rPr>
        <w:t>подмакетника</w:t>
      </w:r>
      <w:proofErr w:type="spellEnd"/>
      <w:r w:rsidR="00C23CA0">
        <w:rPr>
          <w:rFonts w:ascii="Times New Roman" w:hAnsi="Times New Roman" w:cs="Times New Roman"/>
          <w:sz w:val="24"/>
          <w:szCs w:val="24"/>
        </w:rPr>
        <w:t xml:space="preserve"> не более 15</w:t>
      </w:r>
      <w:r w:rsidR="00C23CA0">
        <w:rPr>
          <w:rFonts w:ascii="Times New Roman" w:hAnsi="Times New Roman" w:cs="Times New Roman"/>
          <w:sz w:val="24"/>
          <w:szCs w:val="24"/>
          <w:lang w:val="en-US"/>
        </w:rPr>
        <w:t>*</w:t>
      </w:r>
      <w:r w:rsidR="00C23CA0">
        <w:rPr>
          <w:rFonts w:ascii="Times New Roman" w:hAnsi="Times New Roman" w:cs="Times New Roman"/>
          <w:sz w:val="24"/>
          <w:szCs w:val="24"/>
        </w:rPr>
        <w:t>15 см.</w:t>
      </w:r>
      <w:r w:rsidR="007E428C">
        <w:rPr>
          <w:rFonts w:ascii="Times New Roman" w:hAnsi="Times New Roman" w:cs="Times New Roman"/>
          <w:sz w:val="24"/>
          <w:szCs w:val="24"/>
        </w:rPr>
        <w:t xml:space="preserve"> </w:t>
      </w:r>
      <w:r w:rsidRPr="004A3FA1">
        <w:rPr>
          <w:rFonts w:ascii="Times New Roman" w:hAnsi="Times New Roman" w:cs="Times New Roman"/>
          <w:sz w:val="24"/>
          <w:szCs w:val="24"/>
        </w:rPr>
        <w:t xml:space="preserve"> </w:t>
      </w:r>
      <w:r w:rsidR="00C23C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1792A" w:rsidRPr="004A3FA1" w:rsidRDefault="0071792A" w:rsidP="0071792A">
      <w:p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>Литература</w:t>
      </w:r>
      <w:proofErr w:type="gramStart"/>
      <w:r w:rsidRPr="004A3FA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A3F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792A" w:rsidRPr="00095C6F" w:rsidRDefault="0071792A" w:rsidP="00095C6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95C6F">
        <w:rPr>
          <w:rFonts w:ascii="Times New Roman" w:hAnsi="Times New Roman" w:cs="Times New Roman"/>
          <w:sz w:val="24"/>
          <w:szCs w:val="24"/>
        </w:rPr>
        <w:t xml:space="preserve">Ткачев В.Н. Архитектурный дизайн (функциональные и художественные основы проектирования): Учебное пособие – М.: Архитектура-С, 2006 </w:t>
      </w:r>
      <w:r w:rsidRPr="00095C6F">
        <w:rPr>
          <w:rFonts w:ascii="Times New Roman" w:hAnsi="Times New Roman" w:cs="Times New Roman"/>
          <w:b/>
          <w:sz w:val="24"/>
          <w:szCs w:val="24"/>
        </w:rPr>
        <w:t>Читать  стр.21</w:t>
      </w:r>
      <w:r w:rsidR="007A54FD" w:rsidRPr="00095C6F">
        <w:rPr>
          <w:rFonts w:ascii="Times New Roman" w:hAnsi="Times New Roman" w:cs="Times New Roman"/>
          <w:b/>
          <w:sz w:val="24"/>
          <w:szCs w:val="24"/>
        </w:rPr>
        <w:t>9</w:t>
      </w:r>
      <w:r w:rsidRPr="00095C6F">
        <w:rPr>
          <w:rFonts w:ascii="Times New Roman" w:hAnsi="Times New Roman" w:cs="Times New Roman"/>
          <w:b/>
          <w:sz w:val="24"/>
          <w:szCs w:val="24"/>
        </w:rPr>
        <w:t>-2</w:t>
      </w:r>
      <w:r w:rsidR="007A54FD" w:rsidRPr="00095C6F">
        <w:rPr>
          <w:rFonts w:ascii="Times New Roman" w:hAnsi="Times New Roman" w:cs="Times New Roman"/>
          <w:b/>
          <w:sz w:val="24"/>
          <w:szCs w:val="24"/>
        </w:rPr>
        <w:t>27</w:t>
      </w:r>
      <w:r w:rsidRPr="00095C6F">
        <w:rPr>
          <w:rFonts w:ascii="Times New Roman" w:hAnsi="Times New Roman" w:cs="Times New Roman"/>
          <w:b/>
          <w:sz w:val="24"/>
          <w:szCs w:val="24"/>
        </w:rPr>
        <w:t xml:space="preserve"> (до </w:t>
      </w:r>
      <w:r w:rsidR="007A54FD" w:rsidRPr="00095C6F">
        <w:rPr>
          <w:rFonts w:ascii="Times New Roman" w:hAnsi="Times New Roman" w:cs="Times New Roman"/>
          <w:b/>
          <w:sz w:val="24"/>
          <w:szCs w:val="24"/>
        </w:rPr>
        <w:t>иллюзии зрительного восприятия</w:t>
      </w:r>
      <w:r w:rsidRPr="00095C6F">
        <w:rPr>
          <w:rFonts w:ascii="Times New Roman" w:hAnsi="Times New Roman" w:cs="Times New Roman"/>
          <w:sz w:val="24"/>
          <w:szCs w:val="24"/>
        </w:rPr>
        <w:t>)</w:t>
      </w:r>
    </w:p>
    <w:p w:rsidR="00095C6F" w:rsidRPr="00095C6F" w:rsidRDefault="00095C6F" w:rsidP="00095C6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Стасюк</w:t>
      </w:r>
      <w:proofErr w:type="spellEnd"/>
      <w:r w:rsidRPr="00095C6F">
        <w:rPr>
          <w:rFonts w:ascii="Times New Roman" w:hAnsi="Times New Roman" w:cs="Times New Roman"/>
          <w:sz w:val="24"/>
          <w:szCs w:val="24"/>
        </w:rPr>
        <w:t xml:space="preserve"> </w:t>
      </w:r>
      <w:r w:rsidRPr="004A3FA1">
        <w:rPr>
          <w:rFonts w:ascii="Times New Roman" w:hAnsi="Times New Roman" w:cs="Times New Roman"/>
          <w:sz w:val="24"/>
          <w:szCs w:val="24"/>
        </w:rPr>
        <w:t>Н.Г и др. Основы архитектурной композиции</w:t>
      </w:r>
      <w:r>
        <w:rPr>
          <w:rFonts w:ascii="Times New Roman" w:hAnsi="Times New Roman" w:cs="Times New Roman"/>
          <w:sz w:val="24"/>
          <w:szCs w:val="24"/>
        </w:rPr>
        <w:t xml:space="preserve">. Учебное пособие/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Стасюк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Н.Г., Киселева Т.Ю., Орлова И.Г.,</w:t>
      </w:r>
      <w:r w:rsidRPr="00095C6F">
        <w:rPr>
          <w:rFonts w:ascii="Times New Roman" w:hAnsi="Times New Roman" w:cs="Times New Roman"/>
          <w:sz w:val="24"/>
          <w:szCs w:val="24"/>
        </w:rPr>
        <w:t xml:space="preserve"> </w:t>
      </w:r>
      <w:r w:rsidRPr="00095C6F">
        <w:rPr>
          <w:rFonts w:ascii="Times New Roman" w:hAnsi="Times New Roman" w:cs="Times New Roman"/>
          <w:sz w:val="24"/>
          <w:szCs w:val="24"/>
        </w:rPr>
        <w:t>– М.: Архитектура-С, 200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95C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2579" w:rsidRDefault="00922579"/>
    <w:sectPr w:rsidR="00922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F5616"/>
    <w:multiLevelType w:val="hybridMultilevel"/>
    <w:tmpl w:val="2598C5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77220B"/>
    <w:multiLevelType w:val="hybridMultilevel"/>
    <w:tmpl w:val="02EED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93BB5"/>
    <w:multiLevelType w:val="hybridMultilevel"/>
    <w:tmpl w:val="AEB4D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C25AE"/>
    <w:multiLevelType w:val="hybridMultilevel"/>
    <w:tmpl w:val="EF54E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7811D5"/>
    <w:multiLevelType w:val="hybridMultilevel"/>
    <w:tmpl w:val="02EED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92A"/>
    <w:rsid w:val="00095C6F"/>
    <w:rsid w:val="002E0BFB"/>
    <w:rsid w:val="0071792A"/>
    <w:rsid w:val="007A54FD"/>
    <w:rsid w:val="007E428C"/>
    <w:rsid w:val="00922579"/>
    <w:rsid w:val="00C2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9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5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5C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9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5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5C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1</cp:revision>
  <dcterms:created xsi:type="dcterms:W3CDTF">2020-04-03T12:36:00Z</dcterms:created>
  <dcterms:modified xsi:type="dcterms:W3CDTF">2020-04-03T13:42:00Z</dcterms:modified>
</cp:coreProperties>
</file>