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2D1" w:rsidRPr="00AA2980" w:rsidRDefault="009452D1" w:rsidP="009452D1">
      <w:pPr>
        <w:rPr>
          <w:b/>
          <w:sz w:val="24"/>
          <w:szCs w:val="24"/>
        </w:rPr>
      </w:pPr>
      <w:r w:rsidRPr="00AA2980">
        <w:rPr>
          <w:b/>
          <w:sz w:val="24"/>
          <w:szCs w:val="24"/>
        </w:rPr>
        <w:t>26.03.2020 Теории и технологии развития детской изобразительной деятельности</w:t>
      </w:r>
    </w:p>
    <w:p w:rsidR="009452D1" w:rsidRDefault="009452D1" w:rsidP="009452D1">
      <w:pPr>
        <w:rPr>
          <w:b/>
          <w:sz w:val="24"/>
          <w:szCs w:val="24"/>
        </w:rPr>
      </w:pPr>
    </w:p>
    <w:p w:rsidR="009452D1" w:rsidRPr="009452D1" w:rsidRDefault="009452D1" w:rsidP="009452D1">
      <w:pPr>
        <w:rPr>
          <w:b/>
          <w:sz w:val="24"/>
          <w:szCs w:val="24"/>
        </w:rPr>
      </w:pPr>
      <w:r w:rsidRPr="009452D1">
        <w:rPr>
          <w:b/>
          <w:sz w:val="24"/>
          <w:szCs w:val="24"/>
        </w:rPr>
        <w:t xml:space="preserve">Лекция 2. </w:t>
      </w:r>
      <w:r w:rsidRPr="009452D1">
        <w:rPr>
          <w:b/>
          <w:sz w:val="24"/>
          <w:szCs w:val="24"/>
        </w:rPr>
        <w:t>Способности к изобразительной деятельности</w:t>
      </w:r>
    </w:p>
    <w:p w:rsidR="009452D1" w:rsidRDefault="009452D1" w:rsidP="009452D1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9452D1" w:rsidRDefault="009452D1" w:rsidP="009452D1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9452D1" w:rsidRPr="009452D1" w:rsidRDefault="009452D1" w:rsidP="009452D1">
      <w:pPr>
        <w:rPr>
          <w:b/>
          <w:sz w:val="24"/>
          <w:szCs w:val="24"/>
        </w:rPr>
      </w:pPr>
      <w:r w:rsidRPr="009452D1">
        <w:rPr>
          <w:b/>
          <w:sz w:val="24"/>
          <w:szCs w:val="24"/>
        </w:rPr>
        <w:t>1. Способности к изобразительной деятельности как свойства зрительного восприятия по В.И. Кириенко</w:t>
      </w:r>
    </w:p>
    <w:p w:rsid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9452D1" w:rsidRP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Изобразительная деятельность - это отражение окружающего в форме конкретных, чувственно воспринимаемых зрительных образов.  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9452D1">
        <w:rPr>
          <w:rFonts w:eastAsiaTheme="minorHAnsi"/>
          <w:sz w:val="28"/>
          <w:szCs w:val="28"/>
          <w:lang w:eastAsia="en-US"/>
        </w:rPr>
        <w:t>Г.В.Лабунская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и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Н.П.Сакулина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считают, что процесс создания образа складывается из двух частей: формирование зрительного представления и его воспроизведение. По мнению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Л.А.Венгера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Н.П.Сакулиной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первую часть деятельности называют ориентировочной, а вторую - исполнительской. Разные по характеру они требуют от человека проявления различных качеств (свойств) личности, т.е. способностей.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9452D1">
        <w:rPr>
          <w:rFonts w:eastAsiaTheme="minorHAnsi"/>
          <w:sz w:val="28"/>
          <w:szCs w:val="28"/>
          <w:lang w:eastAsia="en-US"/>
        </w:rPr>
        <w:t>В.И.Кириенко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рассматривает способности к изобразительной деятельности как определенные свойства зрительного восприятия, а именно:</w:t>
      </w:r>
    </w:p>
    <w:p w:rsidR="009452D1" w:rsidRPr="009452D1" w:rsidRDefault="009452D1" w:rsidP="009452D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способность воспринимать объект в сочетании всех его свойств как устойчивое системное целое, даже если некоторые части этого целого в данный момент не могут наблюдаться (целостность восприятия);</w:t>
      </w:r>
    </w:p>
    <w:p w:rsidR="009452D1" w:rsidRPr="009452D1" w:rsidRDefault="009452D1" w:rsidP="009452D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способность оценивать в рисунке отклонения от вертикальных и горизонтальных направлений;</w:t>
      </w:r>
    </w:p>
    <w:p w:rsidR="009452D1" w:rsidRPr="009452D1" w:rsidRDefault="009452D1" w:rsidP="009452D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способность оценивать пропорции;</w:t>
      </w:r>
    </w:p>
    <w:p w:rsidR="009452D1" w:rsidRPr="009452D1" w:rsidRDefault="009452D1" w:rsidP="009452D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способность оценивать степень приближения данного цвета к белому;</w:t>
      </w:r>
    </w:p>
    <w:p w:rsidR="009452D1" w:rsidRPr="009452D1" w:rsidRDefault="009452D1" w:rsidP="009452D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b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способность оценивать перспективы сокращения. </w:t>
      </w:r>
    </w:p>
    <w:p w:rsidR="009452D1" w:rsidRPr="009452D1" w:rsidRDefault="009452D1" w:rsidP="009452D1">
      <w:pPr>
        <w:contextualSpacing/>
        <w:jc w:val="both"/>
        <w:rPr>
          <w:rFonts w:eastAsiaTheme="minorHAnsi"/>
          <w:b/>
          <w:sz w:val="28"/>
          <w:szCs w:val="28"/>
          <w:lang w:eastAsia="en-US"/>
        </w:rPr>
      </w:pPr>
    </w:p>
    <w:p w:rsidR="009452D1" w:rsidRPr="009452D1" w:rsidRDefault="009452D1" w:rsidP="009452D1">
      <w:pPr>
        <w:rPr>
          <w:b/>
          <w:sz w:val="24"/>
          <w:szCs w:val="24"/>
        </w:rPr>
      </w:pPr>
      <w:r w:rsidRPr="009452D1">
        <w:rPr>
          <w:b/>
          <w:sz w:val="24"/>
          <w:szCs w:val="24"/>
        </w:rPr>
        <w:t xml:space="preserve">2. Структура и содержание способности к изобразительной деятельности, предложенные </w:t>
      </w:r>
      <w:proofErr w:type="spellStart"/>
      <w:r w:rsidRPr="009452D1">
        <w:rPr>
          <w:b/>
          <w:sz w:val="24"/>
          <w:szCs w:val="24"/>
        </w:rPr>
        <w:t>А.Г.Ковалевым</w:t>
      </w:r>
      <w:proofErr w:type="spellEnd"/>
    </w:p>
    <w:p w:rsid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9452D1" w:rsidRP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Своеобразный подход к выделению содержания способностей к изобразительной деятельности предлагает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А.Г.Ковалев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>. Он говорит не о способностях, а о способности к изобразительной деятельности, которая имеет свою структуру. Первый компонент - ведущее свойство и два опорных. Структуру способности он выделяет исходя из преимущественного проявления в деятельности тех или иных свой</w:t>
      </w:r>
      <w:proofErr w:type="gramStart"/>
      <w:r w:rsidRPr="009452D1">
        <w:rPr>
          <w:rFonts w:eastAsiaTheme="minorHAnsi"/>
          <w:sz w:val="28"/>
          <w:szCs w:val="28"/>
          <w:lang w:eastAsia="en-US"/>
        </w:rPr>
        <w:t>ств пс</w:t>
      </w:r>
      <w:proofErr w:type="gramEnd"/>
      <w:r w:rsidRPr="009452D1">
        <w:rPr>
          <w:rFonts w:eastAsiaTheme="minorHAnsi"/>
          <w:sz w:val="28"/>
          <w:szCs w:val="28"/>
          <w:lang w:eastAsia="en-US"/>
        </w:rPr>
        <w:t xml:space="preserve">ихики, ведущее свойство - художественное воображение, без которого невозможны развитие и воплощение замысла. Второй компонент - опорное свойство: острая зрительная чувственность (чувство линии, чувство пропорции, чувство симметрии); специальная умелость руки, высокое развитие моторной функции с обобщенными умениями, закрепившимися в системах движений. Кроме этого выделяется фон способностей -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эмоцииональная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настроенность, легко возникающая у ребенка благодаря высокой эмоциональной чувствительности. Исходя из отмеченных выше особенностей </w:t>
      </w:r>
      <w:r w:rsidRPr="009452D1">
        <w:rPr>
          <w:rFonts w:eastAsiaTheme="minorHAnsi"/>
          <w:sz w:val="28"/>
          <w:szCs w:val="28"/>
          <w:lang w:eastAsia="en-US"/>
        </w:rPr>
        <w:lastRenderedPageBreak/>
        <w:t xml:space="preserve">изобразительной деятельности, можно сказать, что выделенные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А.Г.Ковалевым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способности в большей степени отражают существо деятельности, ее сенсорный и одновременно творческий характер. Эти способности проявляются и в ориентировочной, и в исполнительной деятельности. Очень важно выделение специальной умелости руки как одного из компонентов способности. Это согласуется и с существующим в общей теории способностей положением о соотношении способностей с умениями и навыками. Весьма ценна для понимания проблемы, выделенная исследователем структура способностей. Он отмечает, что ведущие и опорные свойства способности могут меняться местами в зависимости от уровня развития способности.</w:t>
      </w:r>
    </w:p>
    <w:p w:rsidR="009452D1" w:rsidRPr="009452D1" w:rsidRDefault="009452D1" w:rsidP="009452D1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9452D1" w:rsidRPr="009452D1" w:rsidRDefault="009452D1" w:rsidP="009452D1">
      <w:pPr>
        <w:rPr>
          <w:b/>
          <w:sz w:val="24"/>
          <w:szCs w:val="24"/>
        </w:rPr>
      </w:pPr>
      <w:r w:rsidRPr="009452D1">
        <w:rPr>
          <w:b/>
          <w:sz w:val="24"/>
          <w:szCs w:val="24"/>
        </w:rPr>
        <w:t xml:space="preserve">3. Исследования способностей к изобразительной деятельности </w:t>
      </w:r>
      <w:proofErr w:type="spellStart"/>
      <w:r w:rsidRPr="009452D1">
        <w:rPr>
          <w:b/>
          <w:sz w:val="24"/>
          <w:szCs w:val="24"/>
        </w:rPr>
        <w:t>Н.П.Сакулиной</w:t>
      </w:r>
      <w:proofErr w:type="spellEnd"/>
      <w:r w:rsidRPr="009452D1">
        <w:rPr>
          <w:b/>
          <w:sz w:val="24"/>
          <w:szCs w:val="24"/>
        </w:rPr>
        <w:t xml:space="preserve"> </w:t>
      </w:r>
    </w:p>
    <w:p w:rsid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9452D1" w:rsidRP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Особого внимания заслуживают исследования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Н.П.Сакулиной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в силу их полноты, конкретности, обоснованности, последовательности в раскрытии узловых вопросов и соотнесенности с дошкольным возрастом по проблеме способностей к изобразительной деятельности.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Анализируя </w:t>
      </w:r>
      <w:proofErr w:type="gramStart"/>
      <w:r w:rsidRPr="009452D1">
        <w:rPr>
          <w:rFonts w:eastAsiaTheme="minorHAnsi"/>
          <w:sz w:val="28"/>
          <w:szCs w:val="28"/>
          <w:lang w:eastAsia="en-US"/>
        </w:rPr>
        <w:t>разные общественные функции рисунка и определяя</w:t>
      </w:r>
      <w:proofErr w:type="gramEnd"/>
      <w:r w:rsidRPr="009452D1">
        <w:rPr>
          <w:rFonts w:eastAsiaTheme="minorHAnsi"/>
          <w:sz w:val="28"/>
          <w:szCs w:val="28"/>
          <w:lang w:eastAsia="en-US"/>
        </w:rPr>
        <w:t xml:space="preserve"> среди всех две главные - изобразительную и выразительную, Н.П.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Сакулина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соответственно выделяет 2 группы способностей к изобразительной деятельности: способность к изображению и способность к художественному выражению. Способность к изображению состоит из 3 компонентов.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1. Восприятие и связанное с ним представление. Чтобы научиться изображать, надо овладеть особым способом восприятия: видеть предмет в целом (воспринимать содержание и форму в единстве), а форму - в тоже, время расчленено (строение, цвет, положение в пространстве, относительную величину).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2. Овладение средствами графического воплощения образа (овладение комплексом умений и навыков изображения, формы, строения, пропорциональных отношений, положения в пространстве).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Без овладения этими графическими навыками, умениями, способность к изображению нельзя сформировать.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3. Овладение техникой рисунка. Технические умения и навыки тесно слиты </w:t>
      </w:r>
      <w:proofErr w:type="gramStart"/>
      <w:r w:rsidRPr="009452D1">
        <w:rPr>
          <w:rFonts w:eastAsiaTheme="minorHAnsi"/>
          <w:sz w:val="28"/>
          <w:szCs w:val="28"/>
          <w:lang w:eastAsia="en-US"/>
        </w:rPr>
        <w:t>с</w:t>
      </w:r>
      <w:proofErr w:type="gramEnd"/>
      <w:r w:rsidRPr="009452D1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9452D1">
        <w:rPr>
          <w:rFonts w:eastAsiaTheme="minorHAnsi"/>
          <w:sz w:val="28"/>
          <w:szCs w:val="28"/>
          <w:lang w:eastAsia="en-US"/>
        </w:rPr>
        <w:t>графическими</w:t>
      </w:r>
      <w:proofErr w:type="gramEnd"/>
      <w:r w:rsidRPr="009452D1">
        <w:rPr>
          <w:rFonts w:eastAsiaTheme="minorHAnsi"/>
          <w:sz w:val="28"/>
          <w:szCs w:val="28"/>
          <w:lang w:eastAsia="en-US"/>
        </w:rPr>
        <w:t xml:space="preserve">, являются их составной частью. Однако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Н.П.Сакулина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выделяет их в отдельную группу в силу их специфичности и подчиненности главным - графическим.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Из трех компонентов способности к изображению центральным является второй - овладение графическими умениями.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Для успешного развития способности к изображению необходимо иметь задатки в области зрительных и осязательных ощущений и двигательной сферы - владение мелкими и дифференцированными движениями рук (кисти руки, пальцы), отмечает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Н.П.Сакулина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. 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В этой же работе она выделяет показатель уровня развития способности к изображению - степень реальности изображения. Она подчеркивает, что </w:t>
      </w:r>
      <w:r w:rsidRPr="009452D1">
        <w:rPr>
          <w:rFonts w:eastAsiaTheme="minorHAnsi"/>
          <w:sz w:val="28"/>
          <w:szCs w:val="28"/>
          <w:lang w:eastAsia="en-US"/>
        </w:rPr>
        <w:lastRenderedPageBreak/>
        <w:t>способность к изображению в дошкольном возрасте не может развиваться в полной мере, и детские работы следует только приближать к возможно большей правдивости и полноте отражения реальной действительности.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9452D1">
        <w:rPr>
          <w:rFonts w:eastAsiaTheme="minorHAnsi"/>
          <w:sz w:val="28"/>
          <w:szCs w:val="28"/>
          <w:lang w:eastAsia="en-US"/>
        </w:rPr>
        <w:t>Сакулина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Н.П. выделяет качества, необходимые для создания художественного рисунка, т.е. «способность к образному выражению», которую она относит к разряду художественно-творческих способностей. 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iCs/>
          <w:sz w:val="28"/>
          <w:szCs w:val="28"/>
          <w:lang w:eastAsia="en-US"/>
        </w:rPr>
        <w:t>Согласно анализу психолого-педагогической литературы, изобразительные способности детей дошкольного возраста, рассматриваются как одна из актуальных проблем современности. Она характеризуется разнообразием взглядов и подходов к сущности и структуре понятия изобразительные способности.</w:t>
      </w:r>
    </w:p>
    <w:p w:rsidR="003A589E" w:rsidRDefault="003A589E" w:rsidP="009452D1">
      <w:pPr>
        <w:spacing w:after="200" w:line="276" w:lineRule="auto"/>
        <w:jc w:val="both"/>
        <w:rPr>
          <w:rFonts w:asciiTheme="minorHAnsi" w:hAnsiTheme="minorHAnsi"/>
          <w:color w:val="000000"/>
          <w:sz w:val="21"/>
          <w:szCs w:val="21"/>
          <w:shd w:val="clear" w:color="auto" w:fill="FFFFFF"/>
        </w:rPr>
      </w:pPr>
    </w:p>
    <w:p w:rsidR="006713D0" w:rsidRPr="006713D0" w:rsidRDefault="006713D0" w:rsidP="006713D0">
      <w:pPr>
        <w:jc w:val="both"/>
        <w:rPr>
          <w:rFonts w:eastAsiaTheme="minorHAnsi"/>
          <w:iCs/>
          <w:sz w:val="28"/>
          <w:szCs w:val="28"/>
          <w:lang w:eastAsia="en-US"/>
        </w:rPr>
      </w:pPr>
      <w:r w:rsidRPr="006713D0">
        <w:rPr>
          <w:rFonts w:eastAsiaTheme="minorHAnsi"/>
          <w:iCs/>
          <w:sz w:val="28"/>
          <w:szCs w:val="28"/>
          <w:lang w:eastAsia="en-US"/>
        </w:rPr>
        <w:t>Задание СРС:</w:t>
      </w:r>
    </w:p>
    <w:p w:rsidR="006713D0" w:rsidRDefault="006713D0" w:rsidP="006713D0">
      <w:pPr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iCs/>
          <w:sz w:val="28"/>
          <w:szCs w:val="28"/>
          <w:lang w:eastAsia="en-US"/>
        </w:rPr>
        <w:t xml:space="preserve"> На основании изучения сл. Источников</w:t>
      </w:r>
      <w:r w:rsidR="000105C2">
        <w:rPr>
          <w:rFonts w:eastAsiaTheme="minorHAnsi"/>
          <w:iCs/>
          <w:sz w:val="28"/>
          <w:szCs w:val="28"/>
          <w:lang w:eastAsia="en-US"/>
        </w:rPr>
        <w:t xml:space="preserve"> ответить на вопросы</w:t>
      </w:r>
      <w:r>
        <w:rPr>
          <w:rFonts w:eastAsiaTheme="minorHAnsi"/>
          <w:iCs/>
          <w:sz w:val="28"/>
          <w:szCs w:val="28"/>
          <w:lang w:eastAsia="en-US"/>
        </w:rPr>
        <w:t>:</w:t>
      </w:r>
    </w:p>
    <w:p w:rsidR="003A589E" w:rsidRDefault="000105C2" w:rsidP="000105C2">
      <w:pPr>
        <w:pStyle w:val="a4"/>
        <w:numPr>
          <w:ilvl w:val="0"/>
          <w:numId w:val="2"/>
        </w:numPr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iCs/>
          <w:sz w:val="28"/>
          <w:szCs w:val="28"/>
          <w:lang w:eastAsia="en-US"/>
        </w:rPr>
        <w:t>Каковы основные направления исследований детской изобразительной деятельности.</w:t>
      </w:r>
    </w:p>
    <w:p w:rsidR="000105C2" w:rsidRDefault="000105C2" w:rsidP="000105C2">
      <w:pPr>
        <w:pStyle w:val="a4"/>
        <w:numPr>
          <w:ilvl w:val="0"/>
          <w:numId w:val="2"/>
        </w:numPr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iCs/>
          <w:sz w:val="28"/>
          <w:szCs w:val="28"/>
          <w:lang w:eastAsia="en-US"/>
        </w:rPr>
        <w:t>Определите основные педагогические приемы развития изобразительных способностей дошкольников.</w:t>
      </w:r>
    </w:p>
    <w:p w:rsidR="000105C2" w:rsidRPr="000105C2" w:rsidRDefault="000105C2" w:rsidP="000105C2">
      <w:pPr>
        <w:pStyle w:val="a4"/>
        <w:numPr>
          <w:ilvl w:val="0"/>
          <w:numId w:val="2"/>
        </w:numPr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iCs/>
          <w:sz w:val="28"/>
          <w:szCs w:val="28"/>
          <w:lang w:eastAsia="en-US"/>
        </w:rPr>
        <w:t>Литература:</w:t>
      </w:r>
    </w:p>
    <w:p w:rsidR="000105C2" w:rsidRDefault="000105C2" w:rsidP="000105C2">
      <w:pPr>
        <w:pStyle w:val="a4"/>
        <w:jc w:val="both"/>
        <w:rPr>
          <w:rFonts w:eastAsiaTheme="minorHAnsi"/>
          <w:iCs/>
          <w:sz w:val="28"/>
          <w:szCs w:val="28"/>
          <w:lang w:eastAsia="en-US"/>
        </w:rPr>
      </w:pPr>
    </w:p>
    <w:p w:rsidR="000105C2" w:rsidRPr="000105C2" w:rsidRDefault="003A589E" w:rsidP="00E2442A">
      <w:pPr>
        <w:pStyle w:val="a4"/>
        <w:numPr>
          <w:ilvl w:val="0"/>
          <w:numId w:val="3"/>
        </w:numPr>
        <w:jc w:val="both"/>
        <w:rPr>
          <w:rFonts w:eastAsiaTheme="minorHAnsi"/>
          <w:i/>
          <w:iCs/>
          <w:sz w:val="28"/>
          <w:szCs w:val="28"/>
          <w:lang w:eastAsia="en-US"/>
        </w:rPr>
      </w:pPr>
      <w:bookmarkStart w:id="0" w:name="_GoBack"/>
      <w:bookmarkEnd w:id="0"/>
      <w:r w:rsidRPr="006713D0">
        <w:rPr>
          <w:rFonts w:eastAsiaTheme="minorHAnsi"/>
          <w:iCs/>
          <w:sz w:val="28"/>
          <w:szCs w:val="28"/>
          <w:lang w:eastAsia="en-US"/>
        </w:rPr>
        <w:t>Игнатьев, С. Е. Закономерности изобразительной деятельности детей</w:t>
      </w:r>
      <w:proofErr w:type="gramStart"/>
      <w:r w:rsidRPr="006713D0">
        <w:rPr>
          <w:rFonts w:eastAsiaTheme="minorHAnsi"/>
          <w:iCs/>
          <w:sz w:val="28"/>
          <w:szCs w:val="28"/>
          <w:lang w:eastAsia="en-US"/>
        </w:rPr>
        <w:t xml:space="preserve"> :</w:t>
      </w:r>
      <w:proofErr w:type="gramEnd"/>
      <w:r w:rsidRPr="006713D0">
        <w:rPr>
          <w:rFonts w:eastAsiaTheme="minorHAnsi"/>
          <w:iCs/>
          <w:sz w:val="28"/>
          <w:szCs w:val="28"/>
          <w:lang w:eastAsia="en-US"/>
        </w:rPr>
        <w:t xml:space="preserve"> учебное пособие для вузов / С. Е. Игнатьев. — Москва</w:t>
      </w:r>
      <w:proofErr w:type="gramStart"/>
      <w:r w:rsidRPr="006713D0">
        <w:rPr>
          <w:rFonts w:eastAsiaTheme="minorHAnsi"/>
          <w:iCs/>
          <w:sz w:val="28"/>
          <w:szCs w:val="28"/>
          <w:lang w:eastAsia="en-US"/>
        </w:rPr>
        <w:t xml:space="preserve"> :</w:t>
      </w:r>
      <w:proofErr w:type="gramEnd"/>
      <w:r w:rsidRPr="006713D0">
        <w:rPr>
          <w:rFonts w:eastAsiaTheme="minorHAnsi"/>
          <w:iCs/>
          <w:sz w:val="28"/>
          <w:szCs w:val="28"/>
          <w:lang w:eastAsia="en-US"/>
        </w:rPr>
        <w:t xml:space="preserve"> Академический Проект, 2017. — 161 c. — ISBN 978-2-8291-2555-4. — Текст</w:t>
      </w:r>
      <w:proofErr w:type="gramStart"/>
      <w:r w:rsidRPr="006713D0">
        <w:rPr>
          <w:rFonts w:eastAsiaTheme="minorHAnsi"/>
          <w:iCs/>
          <w:sz w:val="28"/>
          <w:szCs w:val="28"/>
          <w:lang w:eastAsia="en-US"/>
        </w:rPr>
        <w:t xml:space="preserve"> :</w:t>
      </w:r>
      <w:proofErr w:type="gramEnd"/>
      <w:r w:rsidRPr="006713D0">
        <w:rPr>
          <w:rFonts w:eastAsiaTheme="minorHAnsi"/>
          <w:iCs/>
          <w:sz w:val="28"/>
          <w:szCs w:val="28"/>
          <w:lang w:eastAsia="en-US"/>
        </w:rPr>
        <w:t xml:space="preserve"> электронный // Электронно-библиотечная система IPR BOOKS : [сайт]. — URL: http://www.iprbookshop.ru/71801.html (дата обращения: 25.03.2020). — Режим доступа: для </w:t>
      </w:r>
      <w:proofErr w:type="spellStart"/>
      <w:r w:rsidRPr="006713D0">
        <w:rPr>
          <w:rFonts w:eastAsiaTheme="minorHAnsi"/>
          <w:iCs/>
          <w:sz w:val="28"/>
          <w:szCs w:val="28"/>
          <w:lang w:eastAsia="en-US"/>
        </w:rPr>
        <w:t>авторизир</w:t>
      </w:r>
      <w:proofErr w:type="spellEnd"/>
      <w:r w:rsidRPr="006713D0">
        <w:rPr>
          <w:rFonts w:eastAsiaTheme="minorHAnsi"/>
          <w:iCs/>
          <w:sz w:val="28"/>
          <w:szCs w:val="28"/>
          <w:lang w:eastAsia="en-US"/>
        </w:rPr>
        <w:t xml:space="preserve">. </w:t>
      </w:r>
      <w:r w:rsidR="006713D0" w:rsidRPr="006713D0">
        <w:rPr>
          <w:rFonts w:eastAsiaTheme="minorHAnsi"/>
          <w:iCs/>
          <w:sz w:val="28"/>
          <w:szCs w:val="28"/>
          <w:lang w:eastAsia="en-US"/>
        </w:rPr>
        <w:t>п</w:t>
      </w:r>
      <w:r w:rsidRPr="006713D0">
        <w:rPr>
          <w:rFonts w:eastAsiaTheme="minorHAnsi"/>
          <w:iCs/>
          <w:sz w:val="28"/>
          <w:szCs w:val="28"/>
          <w:lang w:eastAsia="en-US"/>
        </w:rPr>
        <w:t>ользователей</w:t>
      </w:r>
      <w:r w:rsidR="006713D0">
        <w:rPr>
          <w:rFonts w:eastAsiaTheme="minorHAnsi"/>
          <w:iCs/>
          <w:sz w:val="28"/>
          <w:szCs w:val="28"/>
          <w:lang w:eastAsia="en-US"/>
        </w:rPr>
        <w:t xml:space="preserve"> </w:t>
      </w:r>
    </w:p>
    <w:p w:rsidR="000105C2" w:rsidRDefault="000105C2" w:rsidP="000105C2">
      <w:pPr>
        <w:pStyle w:val="a4"/>
        <w:jc w:val="both"/>
        <w:rPr>
          <w:rFonts w:eastAsiaTheme="minorHAnsi"/>
          <w:iCs/>
          <w:sz w:val="28"/>
          <w:szCs w:val="28"/>
          <w:lang w:eastAsia="en-US"/>
        </w:rPr>
      </w:pPr>
    </w:p>
    <w:p w:rsidR="006713D0" w:rsidRPr="000105C2" w:rsidRDefault="006713D0" w:rsidP="000105C2">
      <w:pPr>
        <w:pStyle w:val="a4"/>
        <w:jc w:val="both"/>
        <w:rPr>
          <w:rFonts w:eastAsiaTheme="minorHAnsi"/>
          <w:i/>
          <w:iCs/>
          <w:sz w:val="28"/>
          <w:szCs w:val="28"/>
          <w:lang w:eastAsia="en-US"/>
        </w:rPr>
      </w:pPr>
      <w:r w:rsidRPr="000105C2">
        <w:rPr>
          <w:rFonts w:eastAsiaTheme="minorHAnsi"/>
          <w:i/>
          <w:iCs/>
          <w:sz w:val="28"/>
          <w:szCs w:val="28"/>
          <w:lang w:eastAsia="en-US"/>
        </w:rPr>
        <w:t>ЧИТАТЬ раздел «</w:t>
      </w:r>
      <w:r w:rsidRPr="000105C2">
        <w:rPr>
          <w:rFonts w:eastAsiaTheme="minorHAnsi"/>
          <w:i/>
          <w:iCs/>
          <w:sz w:val="28"/>
          <w:szCs w:val="28"/>
          <w:lang w:eastAsia="en-US"/>
        </w:rPr>
        <w:t xml:space="preserve">Изучение изобразительной деятельности детей </w:t>
      </w:r>
      <w:r w:rsidRPr="000105C2">
        <w:rPr>
          <w:rFonts w:eastAsiaTheme="minorHAnsi"/>
          <w:i/>
          <w:iCs/>
          <w:sz w:val="28"/>
          <w:szCs w:val="28"/>
          <w:lang w:eastAsia="en-US"/>
        </w:rPr>
        <w:t>«</w:t>
      </w:r>
      <w:r w:rsidRPr="000105C2">
        <w:rPr>
          <w:rFonts w:eastAsiaTheme="minorHAnsi"/>
          <w:i/>
          <w:iCs/>
          <w:sz w:val="28"/>
          <w:szCs w:val="28"/>
          <w:lang w:eastAsia="en-US"/>
        </w:rPr>
        <w:t>(Стр.6- 21)</w:t>
      </w:r>
    </w:p>
    <w:p w:rsidR="009452D1" w:rsidRPr="006713D0" w:rsidRDefault="009452D1" w:rsidP="006713D0">
      <w:pPr>
        <w:pStyle w:val="a4"/>
        <w:jc w:val="both"/>
        <w:rPr>
          <w:rFonts w:eastAsiaTheme="minorHAnsi"/>
          <w:iCs/>
          <w:sz w:val="28"/>
          <w:szCs w:val="28"/>
          <w:lang w:eastAsia="en-US"/>
        </w:rPr>
      </w:pPr>
    </w:p>
    <w:p w:rsidR="006713D0" w:rsidRDefault="006713D0" w:rsidP="006713D0">
      <w:pPr>
        <w:jc w:val="both"/>
        <w:rPr>
          <w:rFonts w:eastAsiaTheme="minorHAnsi"/>
          <w:iCs/>
          <w:sz w:val="28"/>
          <w:szCs w:val="28"/>
          <w:lang w:eastAsia="en-US"/>
        </w:rPr>
      </w:pPr>
    </w:p>
    <w:p w:rsidR="006713D0" w:rsidRPr="006713D0" w:rsidRDefault="006713D0" w:rsidP="00E2442A">
      <w:pPr>
        <w:pStyle w:val="a4"/>
        <w:numPr>
          <w:ilvl w:val="0"/>
          <w:numId w:val="3"/>
        </w:numPr>
        <w:spacing w:after="200" w:line="276" w:lineRule="auto"/>
        <w:jc w:val="both"/>
        <w:rPr>
          <w:rFonts w:asciiTheme="minorHAnsi" w:hAnsiTheme="minorHAnsi"/>
          <w:color w:val="000000"/>
          <w:sz w:val="21"/>
          <w:szCs w:val="21"/>
          <w:shd w:val="clear" w:color="auto" w:fill="FFFFFF"/>
        </w:rPr>
      </w:pPr>
      <w:hyperlink r:id="rId6" w:history="1">
        <w:r>
          <w:rPr>
            <w:rStyle w:val="a3"/>
          </w:rPr>
          <w:t>https://cyberleninka.ru/article/n/razvitie-izobrazitelnyh-sposobnostey-starshih-doshkolnikov-v-syuzhetnom-risovanii/viewer</w:t>
        </w:r>
      </w:hyperlink>
    </w:p>
    <w:p w:rsidR="006713D0" w:rsidRPr="009452D1" w:rsidRDefault="006713D0" w:rsidP="006713D0">
      <w:pPr>
        <w:jc w:val="both"/>
        <w:rPr>
          <w:rFonts w:eastAsiaTheme="minorHAnsi"/>
          <w:iCs/>
          <w:sz w:val="28"/>
          <w:szCs w:val="28"/>
          <w:lang w:eastAsia="en-US"/>
        </w:rPr>
      </w:pPr>
    </w:p>
    <w:sectPr w:rsidR="006713D0" w:rsidRPr="00945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A2DC8"/>
    <w:multiLevelType w:val="hybridMultilevel"/>
    <w:tmpl w:val="9F10D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704EE"/>
    <w:multiLevelType w:val="hybridMultilevel"/>
    <w:tmpl w:val="93D60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CC5275"/>
    <w:multiLevelType w:val="hybridMultilevel"/>
    <w:tmpl w:val="9F10D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2D1"/>
    <w:rsid w:val="000105C2"/>
    <w:rsid w:val="003A589E"/>
    <w:rsid w:val="006713D0"/>
    <w:rsid w:val="00926D51"/>
    <w:rsid w:val="009452D1"/>
    <w:rsid w:val="00E2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13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713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13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71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n/razvitie-izobrazitelnyh-sposobnostey-starshih-doshkolnikov-v-syuzhetnom-risovanii/viewe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dcterms:created xsi:type="dcterms:W3CDTF">2020-03-25T11:27:00Z</dcterms:created>
  <dcterms:modified xsi:type="dcterms:W3CDTF">2020-03-25T12:47:00Z</dcterms:modified>
</cp:coreProperties>
</file>