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DFF" w:rsidRPr="00224DFF" w:rsidRDefault="00224DFF" w:rsidP="00224DFF">
      <w:pPr>
        <w:pStyle w:val="normal"/>
        <w:ind w:left="720" w:firstLine="720"/>
        <w:rPr>
          <w:rFonts w:ascii="Arial Unicode MS" w:eastAsia="Arial Unicode MS" w:hAnsi="Arial Unicode MS" w:cs="Arial Unicode MS"/>
          <w:b/>
          <w:color w:val="404040" w:themeColor="text1" w:themeTint="BF"/>
          <w:sz w:val="28"/>
          <w:szCs w:val="28"/>
        </w:rPr>
      </w:pPr>
      <w:r w:rsidRPr="00224DFF">
        <w:rPr>
          <w:rFonts w:ascii="Arial Unicode MS" w:eastAsia="Arial Unicode MS" w:hAnsi="Arial Unicode MS" w:cs="Arial Unicode MS"/>
          <w:b/>
          <w:color w:val="404040" w:themeColor="text1" w:themeTint="BF"/>
          <w:sz w:val="28"/>
          <w:szCs w:val="28"/>
        </w:rPr>
        <w:t>Тарасова Екатерина Д-ПБ-31</w:t>
      </w:r>
    </w:p>
    <w:p w:rsidR="00793E83" w:rsidRPr="00224DFF" w:rsidRDefault="006948B2" w:rsidP="006C55A5">
      <w:pPr>
        <w:pStyle w:val="normal"/>
        <w:ind w:left="720" w:firstLine="720"/>
        <w:jc w:val="center"/>
        <w:rPr>
          <w:rFonts w:ascii="Arial Unicode MS" w:eastAsia="Arial Unicode MS" w:hAnsi="Arial Unicode MS" w:cs="Arial Unicode MS"/>
          <w:b/>
          <w:color w:val="404040" w:themeColor="text1" w:themeTint="BF"/>
          <w:sz w:val="28"/>
          <w:szCs w:val="28"/>
        </w:rPr>
      </w:pPr>
      <w:r w:rsidRPr="00224DFF">
        <w:rPr>
          <w:rFonts w:ascii="Arial Unicode MS" w:eastAsia="Arial Unicode MS" w:hAnsi="Arial Unicode MS" w:cs="Arial Unicode MS"/>
          <w:b/>
          <w:color w:val="404040" w:themeColor="text1" w:themeTint="BF"/>
          <w:sz w:val="28"/>
          <w:szCs w:val="28"/>
        </w:rPr>
        <w:t xml:space="preserve">Средства обучения детей с ОВЗ </w:t>
      </w:r>
    </w:p>
    <w:p w:rsidR="00793E83" w:rsidRPr="00224DFF" w:rsidRDefault="00793E83">
      <w:pPr>
        <w:pStyle w:val="normal"/>
        <w:rPr>
          <w:rFonts w:ascii="Arial Unicode MS" w:eastAsia="Arial Unicode MS" w:hAnsi="Arial Unicode MS" w:cs="Arial Unicode MS"/>
          <w:color w:val="404040" w:themeColor="text1" w:themeTint="BF"/>
          <w:sz w:val="28"/>
          <w:szCs w:val="28"/>
        </w:rPr>
      </w:pPr>
    </w:p>
    <w:tbl>
      <w:tblPr>
        <w:tblStyle w:val="a5"/>
        <w:tblW w:w="1356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6196"/>
        <w:gridCol w:w="7371"/>
      </w:tblGrid>
      <w:tr w:rsidR="00793E83" w:rsidRPr="00224DFF" w:rsidTr="006C55A5">
        <w:tc>
          <w:tcPr>
            <w:tcW w:w="61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b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b/>
                <w:color w:val="404040" w:themeColor="text1" w:themeTint="BF"/>
                <w:sz w:val="28"/>
                <w:szCs w:val="28"/>
              </w:rPr>
              <w:t>Виды ограниченных возможностей у детей</w:t>
            </w:r>
          </w:p>
        </w:tc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b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b/>
                <w:color w:val="404040" w:themeColor="text1" w:themeTint="BF"/>
                <w:sz w:val="28"/>
                <w:szCs w:val="28"/>
              </w:rPr>
              <w:t xml:space="preserve">Средства обучения </w:t>
            </w:r>
          </w:p>
        </w:tc>
      </w:tr>
      <w:tr w:rsidR="00793E83" w:rsidRPr="00224DFF" w:rsidTr="006C55A5">
        <w:tc>
          <w:tcPr>
            <w:tcW w:w="61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Дети с нарушением речи</w:t>
            </w:r>
          </w:p>
        </w:tc>
        <w:tc>
          <w:tcPr>
            <w:tcW w:w="7371" w:type="dxa"/>
          </w:tcPr>
          <w:p w:rsidR="00630AAC" w:rsidRPr="00224DFF" w:rsidRDefault="00630AAC" w:rsidP="00630AAC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Особенно широко применяются сл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о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весные приемы: речевой образец, повторное проговаривание, объя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с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нение, оценка детской речи, вопрос.</w:t>
            </w:r>
          </w:p>
          <w:p w:rsidR="00630AAC" w:rsidRPr="00224DFF" w:rsidRDefault="00630AAC" w:rsidP="00630AAC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 xml:space="preserve">Слово учителя-средство передачи ученикам знаний. Оно должно быть воспринято детьми. </w:t>
            </w:r>
          </w:p>
          <w:p w:rsidR="00630AAC" w:rsidRPr="00224DFF" w:rsidRDefault="00630AAC" w:rsidP="00630AAC">
            <w:pPr>
              <w:pStyle w:val="normal"/>
              <w:jc w:val="both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Поэтому к речи педагога, работа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ю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щего в системе специального образования, в силу специфики конти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н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 xml:space="preserve">гента </w:t>
            </w:r>
            <w:proofErr w:type="gram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обучаемых</w:t>
            </w:r>
            <w:proofErr w:type="gram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 xml:space="preserve"> предъявляются особые требования. Речь должна звучать внятно, отчетливо, естественно. Педагог специальных образ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о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 xml:space="preserve">вательных учреждений должен уметь прогнозировать 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lastRenderedPageBreak/>
              <w:t>содержание и ритм учебного занятия как речевого события, владеть техникой речевой импровизации, находить и испол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ь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зовать ситуации, способствующие активизации речевой деятельности учащихся, обладать бездефектным произношением, умением строить краткие и точные фразы</w:t>
            </w:r>
          </w:p>
          <w:p w:rsidR="00793E83" w:rsidRPr="00224DFF" w:rsidRDefault="00630AAC" w:rsidP="00630AAC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Arial Unicode MS" w:eastAsia="Arial Unicode MS" w:hAnsi="Arial Unicode MS" w:cs="Arial Unicode MS"/>
                <w:bCs/>
                <w:color w:val="404040" w:themeColor="text1" w:themeTint="BF"/>
                <w:sz w:val="28"/>
                <w:szCs w:val="24"/>
              </w:rPr>
            </w:pPr>
            <w:proofErr w:type="spellStart"/>
            <w:r w:rsidRPr="00224DFF">
              <w:rPr>
                <w:rFonts w:ascii="Arial Unicode MS" w:eastAsia="Arial Unicode MS" w:hAnsi="Arial Unicode MS" w:cs="Arial Unicode MS"/>
                <w:bCs/>
                <w:color w:val="404040" w:themeColor="text1" w:themeTint="BF"/>
                <w:sz w:val="28"/>
                <w:szCs w:val="24"/>
              </w:rPr>
              <w:t>удожественно-речевая</w:t>
            </w:r>
            <w:proofErr w:type="spellEnd"/>
            <w:r w:rsidRPr="00224DFF">
              <w:rPr>
                <w:rFonts w:ascii="Arial Unicode MS" w:eastAsia="Arial Unicode MS" w:hAnsi="Arial Unicode MS" w:cs="Arial Unicode MS"/>
                <w:bCs/>
                <w:color w:val="404040" w:themeColor="text1" w:themeTint="BF"/>
                <w:sz w:val="28"/>
                <w:szCs w:val="24"/>
              </w:rPr>
              <w:t xml:space="preserve"> </w:t>
            </w:r>
            <w:proofErr w:type="spellStart"/>
            <w:r w:rsidRPr="00224DFF">
              <w:rPr>
                <w:rFonts w:ascii="Arial Unicode MS" w:eastAsia="Arial Unicode MS" w:hAnsi="Arial Unicode MS" w:cs="Arial Unicode MS"/>
                <w:bCs/>
                <w:color w:val="404040" w:themeColor="text1" w:themeTint="BF"/>
                <w:sz w:val="28"/>
                <w:szCs w:val="24"/>
              </w:rPr>
              <w:t>деятел</w:t>
            </w:r>
            <w:r w:rsidRPr="00224DFF">
              <w:rPr>
                <w:rFonts w:ascii="Arial Unicode MS" w:eastAsia="Arial Unicode MS" w:hAnsi="Arial Unicode MS" w:cs="Arial Unicode MS"/>
                <w:bCs/>
                <w:color w:val="404040" w:themeColor="text1" w:themeTint="BF"/>
                <w:sz w:val="28"/>
                <w:szCs w:val="24"/>
              </w:rPr>
              <w:t>ь</w:t>
            </w:r>
            <w:r w:rsidRPr="00224DFF">
              <w:rPr>
                <w:rFonts w:ascii="Arial Unicode MS" w:eastAsia="Arial Unicode MS" w:hAnsi="Arial Unicode MS" w:cs="Arial Unicode MS"/>
                <w:bCs/>
                <w:color w:val="404040" w:themeColor="text1" w:themeTint="BF"/>
                <w:sz w:val="28"/>
                <w:szCs w:val="24"/>
              </w:rPr>
              <w:t>ность</w:t>
            </w:r>
            <w:proofErr w:type="gramStart"/>
            <w:r w:rsidRPr="00224DFF">
              <w:rPr>
                <w:rFonts w:ascii="Arial Unicode MS" w:eastAsia="Arial Unicode MS" w:hAnsi="Arial Unicode MS" w:cs="Arial Unicode MS"/>
                <w:bCs/>
                <w:color w:val="404040" w:themeColor="text1" w:themeTint="BF"/>
                <w:sz w:val="28"/>
                <w:szCs w:val="24"/>
              </w:rPr>
              <w:t>.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П</w:t>
            </w:r>
            <w:proofErr w:type="gram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омогает</w:t>
            </w:r>
            <w:proofErr w:type="spell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 xml:space="preserve"> детям с отклон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е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ниями в развитии совершенствовать свои речевые навыки, преодолевать страх и неуверенность в процессе пользования речью, развивает сп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о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собность чувствовать красоту языка, поэтического и художественного слова, духовно обогащает детей, вызывает у них интерес к литерату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р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4"/>
              </w:rPr>
              <w:t>ному чтению.</w:t>
            </w:r>
          </w:p>
        </w:tc>
      </w:tr>
      <w:tr w:rsidR="00793E83" w:rsidRPr="00224DFF" w:rsidTr="006C55A5">
        <w:trPr>
          <w:trHeight w:val="3217"/>
        </w:trPr>
        <w:tc>
          <w:tcPr>
            <w:tcW w:w="61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lastRenderedPageBreak/>
              <w:t xml:space="preserve">Дети с нарушением интеллекта </w:t>
            </w:r>
          </w:p>
        </w:tc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 1)Индивидуальное обучение (индивидуальные карточки с заданиями);</w:t>
            </w:r>
          </w:p>
          <w:p w:rsidR="00793E83" w:rsidRPr="00224DFF" w:rsidRDefault="00793E83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 2)Объяснительно-иллюстративные технологии (наглядные пособия, раздаточный м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атериал);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3)Игровые технологии;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4)Слово учителя</w:t>
            </w:r>
          </w:p>
        </w:tc>
      </w:tr>
      <w:tr w:rsidR="00793E83" w:rsidRPr="00224DFF" w:rsidTr="006C55A5">
        <w:tc>
          <w:tcPr>
            <w:tcW w:w="61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Дети с нарушением зрения </w:t>
            </w:r>
          </w:p>
        </w:tc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proofErr w:type="gram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1)Учебники, учебные пособия, социально-экономическая, политическая, художественная, научно-популярная, музыкальная литература, издаваемые по системе Брайля, иллюстрируемые рельефными рисунками, чертежами, схемами;</w:t>
            </w:r>
            <w:proofErr w:type="gramEnd"/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2)Для слепых, имеющих остаточное зрение, в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ыпускаются пособия, сочетающие рельефную и цветную печать;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3)Для </w:t>
            </w:r>
            <w:proofErr w:type="gram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слабовидящих</w:t>
            </w:r>
            <w:proofErr w:type="gram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 широко используются специальные учебники с укрупненным шрифтом и адаптированными цветными ил люстрациями;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lastRenderedPageBreak/>
              <w:t>4)</w:t>
            </w:r>
            <w:proofErr w:type="spell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Тифлотехнические</w:t>
            </w:r>
            <w:proofErr w:type="spell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 средства компенсации нарушенных функций зрительного а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нализатора, в основе которых лежит преобразование (перекодирование) визуальной информации в сигналы, доступные для восприятия посредством слуха и осязания (сохранными анализаторами);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proofErr w:type="gram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5)Оптические средства коррекции: лупы (ручные, опорные, стационарные), оч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ки (микроскопические, телескопические, </w:t>
            </w:r>
            <w:proofErr w:type="spell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гиперокулярные</w:t>
            </w:r>
            <w:proofErr w:type="spell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), монокуляры и </w:t>
            </w:r>
            <w:proofErr w:type="spell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бинокуляры</w:t>
            </w:r>
            <w:proofErr w:type="spell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, проекционные увеличивающие аппараты (эпи- и диапроекторы);</w:t>
            </w:r>
            <w:proofErr w:type="gramEnd"/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6)Специальные замкнутые телевизионные системы, позволяющие осуществлять фронтальные методы обучения;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7)Светотехничес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кие средства в виде светозащитных корригирующих линз из цветного стекла или бесцветного стекла с покрытием;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8)Различные по сложности технические устройства и 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lastRenderedPageBreak/>
              <w:t>приспособления: простые приспособления для вдевания нитки в иголку, трости для обеспечения возможн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ости самостоятельного передвижения, грифели и приборы для ручного письма по системе Брайля, специальные пишущие машинки для незрячих программистов, специальные приборы для рельефного черчения и рисования;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9)«Говорящие» книги - тиражированные на звуковоспро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изводящих носителях записи книг;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10)Специальные виды тренажеров, звуковые мишени, звучащие мячи и т.п.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11)Слово учителя.</w:t>
            </w:r>
          </w:p>
        </w:tc>
      </w:tr>
      <w:tr w:rsidR="00793E83" w:rsidRPr="00224DFF" w:rsidTr="006C55A5">
        <w:tc>
          <w:tcPr>
            <w:tcW w:w="61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lastRenderedPageBreak/>
              <w:t xml:space="preserve">Дети с задержкой психического развития </w:t>
            </w:r>
          </w:p>
        </w:tc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1)Объяснительно-иллюстративные технологии (наглядные пособия, раздаточный материал);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2)Наглядные пособия;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3)Пассивные технические средства обучения (обучающие машины и компьютеры, а также средства программированного обучения);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lastRenderedPageBreak/>
              <w:t>4)Активные технические средства обучения (тренажёры, алгоритмы и обучающие программы ЭВМ; технические средства ста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тической проекции (диапроекторы, установки полиэкранных фильмов, установки </w:t>
            </w:r>
            <w:proofErr w:type="spell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стереопроекции</w:t>
            </w:r>
            <w:proofErr w:type="spell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, голограммы и др.); </w:t>
            </w:r>
            <w:proofErr w:type="spell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звукотехнические</w:t>
            </w:r>
            <w:proofErr w:type="spell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 устройства (моно- и стереомагнитофоны, микшеры, эквалайзеры, стере</w:t>
            </w:r>
            <w:proofErr w:type="gram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о-</w:t>
            </w:r>
            <w:proofErr w:type="gram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 и </w:t>
            </w:r>
            <w:proofErr w:type="spell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моноусилители</w:t>
            </w:r>
            <w:proofErr w:type="spell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, лингафонные классы, диктофоны и др.);</w:t>
            </w:r>
          </w:p>
        </w:tc>
      </w:tr>
      <w:tr w:rsidR="00793E83" w:rsidRPr="00224DFF" w:rsidTr="006C55A5">
        <w:tc>
          <w:tcPr>
            <w:tcW w:w="61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lastRenderedPageBreak/>
              <w:t>Дети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 с нарушением слуха </w:t>
            </w:r>
          </w:p>
        </w:tc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1)Специфические средства (звукоусиливающая аппаратура, индивидуальные слуховые аппараты, приспособления для облегчения формирования и коррекции произношения (шпатель, зонды)); 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2)Письменная речь; 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3)Наглядные средства (натуральные объекты, их графические изображения, сюжетные картины, макеты, муляжи, экранные пособия).</w:t>
            </w:r>
          </w:p>
        </w:tc>
      </w:tr>
      <w:tr w:rsidR="00793E83" w:rsidRPr="00224DFF" w:rsidTr="006C55A5">
        <w:tc>
          <w:tcPr>
            <w:tcW w:w="61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lastRenderedPageBreak/>
              <w:t>Дети с нарушением опорно-двигательного аппарата</w:t>
            </w:r>
          </w:p>
        </w:tc>
        <w:tc>
          <w:tcPr>
            <w:tcW w:w="73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proofErr w:type="gram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1)Специальное оборудование для  передвижения: различные варианты инвалидных колясок (комнатные, прогулочные, функциональные, спортивные), подъемники для пересаживания, микроавтобус, ходунки и т. д.);</w:t>
            </w:r>
            <w:proofErr w:type="gramEnd"/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2)Средства, облегчающие самообслуживание детей (набор по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суды и столовых приборов, приспособления для раздевания и одевания);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3)Специальные технические средства для оптимизации процесса письма (увеличенные в размерах ручки и специальные накладки к ним, утяжеленные ручки, специальные магниты для прикрепления тетр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ади к парте);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4)Специализированная система с регулирующей рабочей поверхностью;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5)Специальная программируемая клавиатура;</w:t>
            </w:r>
          </w:p>
          <w:p w:rsidR="00793E83" w:rsidRPr="00224DFF" w:rsidRDefault="006948B2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</w:pP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6)Система виртуального управления средств коммуникации с использованием </w:t>
            </w:r>
            <w:proofErr w:type="spellStart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>цифрокрасной</w:t>
            </w:r>
            <w:proofErr w:type="spellEnd"/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t xml:space="preserve"> </w:t>
            </w:r>
            <w:r w:rsidRPr="00224DFF">
              <w:rPr>
                <w:rFonts w:ascii="Arial Unicode MS" w:eastAsia="Arial Unicode MS" w:hAnsi="Arial Unicode MS" w:cs="Arial Unicode MS"/>
                <w:color w:val="404040" w:themeColor="text1" w:themeTint="BF"/>
                <w:sz w:val="28"/>
                <w:szCs w:val="28"/>
              </w:rPr>
              <w:lastRenderedPageBreak/>
              <w:t>камеры.</w:t>
            </w:r>
          </w:p>
        </w:tc>
      </w:tr>
    </w:tbl>
    <w:p w:rsidR="00793E83" w:rsidRPr="00224DFF" w:rsidRDefault="00793E83">
      <w:pPr>
        <w:pStyle w:val="normal"/>
        <w:rPr>
          <w:rFonts w:ascii="Arial Unicode MS" w:eastAsia="Arial Unicode MS" w:hAnsi="Arial Unicode MS" w:cs="Arial Unicode MS"/>
          <w:color w:val="404040" w:themeColor="text1" w:themeTint="BF"/>
          <w:sz w:val="28"/>
          <w:szCs w:val="28"/>
        </w:rPr>
      </w:pPr>
    </w:p>
    <w:sectPr w:rsidR="00793E83" w:rsidRPr="00224DFF" w:rsidSect="00224DFF">
      <w:pgSz w:w="15840" w:h="12240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65C2B"/>
    <w:multiLevelType w:val="multilevel"/>
    <w:tmpl w:val="7330653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71906CEA"/>
    <w:multiLevelType w:val="multilevel"/>
    <w:tmpl w:val="6D6E6FE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93E83"/>
    <w:rsid w:val="00224DFF"/>
    <w:rsid w:val="00630AAC"/>
    <w:rsid w:val="006948B2"/>
    <w:rsid w:val="006C55A5"/>
    <w:rsid w:val="00793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793E83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793E83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793E8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793E83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793E83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793E83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793E83"/>
  </w:style>
  <w:style w:type="table" w:customStyle="1" w:styleId="TableNormal">
    <w:name w:val="Table Normal"/>
    <w:rsid w:val="00793E8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793E83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793E83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793E8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630AA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Тарасова</cp:lastModifiedBy>
  <cp:revision>2</cp:revision>
  <dcterms:created xsi:type="dcterms:W3CDTF">2020-12-29T13:05:00Z</dcterms:created>
  <dcterms:modified xsi:type="dcterms:W3CDTF">2020-12-29T13:05:00Z</dcterms:modified>
</cp:coreProperties>
</file>