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808AF" w14:textId="3856B040" w:rsidR="00B66C02" w:rsidRPr="0004134C" w:rsidRDefault="007E5D0E">
      <w:pPr>
        <w:rPr>
          <w:sz w:val="32"/>
          <w:szCs w:val="32"/>
        </w:rPr>
      </w:pPr>
      <w:r w:rsidRPr="0004134C">
        <w:rPr>
          <w:sz w:val="32"/>
          <w:szCs w:val="32"/>
        </w:rPr>
        <w:t>Лекция 7-8</w:t>
      </w:r>
    </w:p>
    <w:p w14:paraId="70B461E9" w14:textId="7F44EE59" w:rsidR="007E5D0E" w:rsidRPr="0004134C" w:rsidRDefault="007E5D0E">
      <w:pPr>
        <w:rPr>
          <w:sz w:val="32"/>
          <w:szCs w:val="32"/>
        </w:rPr>
      </w:pPr>
      <w:r w:rsidRPr="0004134C">
        <w:rPr>
          <w:sz w:val="32"/>
          <w:szCs w:val="32"/>
        </w:rPr>
        <w:t>Тема 7</w:t>
      </w:r>
    </w:p>
    <w:p w14:paraId="1ED681E2" w14:textId="5F0331DD" w:rsidR="007E5D0E" w:rsidRPr="007E5D0E" w:rsidRDefault="00B31B99" w:rsidP="007E5D0E">
      <w:pPr>
        <w:spacing w:before="450" w:after="450" w:line="240" w:lineRule="auto"/>
        <w:ind w:left="450" w:right="450"/>
        <w:outlineLvl w:val="0"/>
        <w:rPr>
          <w:rFonts w:ascii="Roboto" w:eastAsia="Times New Roman" w:hAnsi="Roboto" w:cs="Times New Roman"/>
          <w:b/>
          <w:bCs/>
          <w:color w:val="474747"/>
          <w:kern w:val="36"/>
          <w:sz w:val="30"/>
          <w:szCs w:val="30"/>
          <w:lang w:eastAsia="ru-RU"/>
        </w:rPr>
      </w:pPr>
      <w:r>
        <w:rPr>
          <w:rFonts w:ascii="Roboto" w:eastAsia="Times New Roman" w:hAnsi="Roboto" w:cs="Times New Roman"/>
          <w:b/>
          <w:bCs/>
          <w:color w:val="474747"/>
          <w:kern w:val="36"/>
          <w:sz w:val="30"/>
          <w:szCs w:val="30"/>
          <w:lang w:eastAsia="ru-RU"/>
        </w:rPr>
        <w:t>Управленческий а</w:t>
      </w:r>
      <w:r w:rsidR="007E5D0E" w:rsidRPr="007E5D0E">
        <w:rPr>
          <w:rFonts w:ascii="Roboto" w:eastAsia="Times New Roman" w:hAnsi="Roboto" w:cs="Times New Roman"/>
          <w:b/>
          <w:bCs/>
          <w:color w:val="474747"/>
          <w:kern w:val="36"/>
          <w:sz w:val="30"/>
          <w:szCs w:val="30"/>
          <w:lang w:eastAsia="ru-RU"/>
        </w:rPr>
        <w:t>удит развития должности и стратегический аудит рабочих мест</w:t>
      </w:r>
    </w:p>
    <w:p w14:paraId="26418AE7"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Аудит развития должности осуществляется по двум направлениям: повышение квалификации и карьера Большинство экспертов считает, что для оценки программ повышения квалификации следует использовать следующие критерии:</w:t>
      </w:r>
    </w:p>
    <w:p w14:paraId="3B7A848E"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реакция участников;</w:t>
      </w:r>
    </w:p>
    <w:p w14:paraId="663BFDBF"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степень освоения знаний, навыков и умений (по результатам входного и выходного</w:t>
      </w:r>
      <w:r w:rsidRPr="007E5D0E">
        <w:rPr>
          <w:rFonts w:ascii="Arial" w:eastAsia="Times New Roman" w:hAnsi="Arial" w:cs="Arial"/>
          <w:color w:val="3D3D3D"/>
          <w:sz w:val="26"/>
          <w:szCs w:val="26"/>
          <w:lang w:eastAsia="ru-RU"/>
        </w:rPr>
        <w:br/>
        <w:t>тестирования);</w:t>
      </w:r>
    </w:p>
    <w:p w14:paraId="26827123"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уровень улучшения работы (оценка работы);</w:t>
      </w:r>
    </w:p>
    <w:p w14:paraId="753B2301"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влияние обучения на экономические результаты фирмы.</w:t>
      </w:r>
      <w:r w:rsidRPr="007E5D0E">
        <w:rPr>
          <w:rFonts w:ascii="Arial" w:eastAsia="Times New Roman" w:hAnsi="Arial" w:cs="Arial"/>
          <w:color w:val="3D3D3D"/>
          <w:sz w:val="26"/>
          <w:szCs w:val="26"/>
          <w:lang w:eastAsia="ru-RU"/>
        </w:rPr>
        <w:br/>
        <w:t>Для оценки вопросов карьеры могут использоваться:</w:t>
      </w:r>
    </w:p>
    <w:p w14:paraId="78BACEA7"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степень информированности работников о вакантных местах и необходимой для этого</w:t>
      </w:r>
      <w:r w:rsidRPr="007E5D0E">
        <w:rPr>
          <w:rFonts w:ascii="Arial" w:eastAsia="Times New Roman" w:hAnsi="Arial" w:cs="Arial"/>
          <w:color w:val="3D3D3D"/>
          <w:sz w:val="26"/>
          <w:szCs w:val="26"/>
          <w:lang w:eastAsia="ru-RU"/>
        </w:rPr>
        <w:br/>
        <w:t>квалификации;</w:t>
      </w:r>
    </w:p>
    <w:p w14:paraId="3196CF16"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система получения вакантного рабочего места;</w:t>
      </w:r>
    </w:p>
    <w:p w14:paraId="0193408F"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наличие помощи работнику в планировании карьеры';</w:t>
      </w:r>
    </w:p>
    <w:p w14:paraId="09205EF5"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взаимодействие работников и руководителей по вопросам карьеры.</w:t>
      </w:r>
      <w:r w:rsidRPr="007E5D0E">
        <w:rPr>
          <w:rFonts w:ascii="Arial" w:eastAsia="Times New Roman" w:hAnsi="Arial" w:cs="Arial"/>
          <w:color w:val="3D3D3D"/>
          <w:sz w:val="26"/>
          <w:szCs w:val="26"/>
          <w:lang w:eastAsia="ru-RU"/>
        </w:rPr>
        <w:br/>
        <w:t>Стратегический аудит рабочих мест состоит в оценке соответствия кадрового планирования</w:t>
      </w:r>
    </w:p>
    <w:p w14:paraId="39E7888A"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стратегическим целям и задачам организации.</w:t>
      </w:r>
    </w:p>
    <w:p w14:paraId="026DE992"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b/>
          <w:bCs/>
          <w:color w:val="3D3D3D"/>
          <w:sz w:val="26"/>
          <w:szCs w:val="26"/>
          <w:lang w:eastAsia="ru-RU"/>
        </w:rPr>
        <w:t>Аудит организации труда</w:t>
      </w:r>
      <w:r w:rsidRPr="007E5D0E">
        <w:rPr>
          <w:rFonts w:ascii="Arial" w:eastAsia="Times New Roman" w:hAnsi="Arial" w:cs="Arial"/>
          <w:color w:val="3D3D3D"/>
          <w:sz w:val="26"/>
          <w:szCs w:val="26"/>
          <w:lang w:eastAsia="ru-RU"/>
        </w:rPr>
        <w:t>,</w:t>
      </w:r>
    </w:p>
    <w:p w14:paraId="4DA63026"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Данный аудит связан с аудитом производительности труда, поскольку организация труда является одним из важнейших факторов роста производительности.</w:t>
      </w:r>
    </w:p>
    <w:p w14:paraId="7B91FECA"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xml:space="preserve">Сущность аудита организации труда состоит в определении уровня организации труда, ее влияния на использование рабочего времени и </w:t>
      </w:r>
      <w:r w:rsidRPr="007E5D0E">
        <w:rPr>
          <w:rFonts w:ascii="Arial" w:eastAsia="Times New Roman" w:hAnsi="Arial" w:cs="Arial"/>
          <w:color w:val="3D3D3D"/>
          <w:sz w:val="26"/>
          <w:szCs w:val="26"/>
          <w:lang w:eastAsia="ru-RU"/>
        </w:rPr>
        <w:lastRenderedPageBreak/>
        <w:t>основных фондов, работоспособность и здоровье трудящихся, а также в выявлении причин несоответствия существующей организации труда плановому уровню.</w:t>
      </w:r>
    </w:p>
    <w:p w14:paraId="2AE88C30"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Работа по оценке уровня организации труда включает в себя:</w:t>
      </w:r>
    </w:p>
    <w:p w14:paraId="3656CA35"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установление степени соответствия начального уровня организации труда эталону;</w:t>
      </w:r>
    </w:p>
    <w:p w14:paraId="3A9812A5"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влияние происшедших за исследуемый период изменений;</w:t>
      </w:r>
    </w:p>
    <w:p w14:paraId="7710110A"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оценку эффективности выполненной работы с точки зрения конечного результата</w:t>
      </w:r>
      <w:r w:rsidRPr="007E5D0E">
        <w:rPr>
          <w:rFonts w:ascii="Arial" w:eastAsia="Times New Roman" w:hAnsi="Arial" w:cs="Arial"/>
          <w:color w:val="3D3D3D"/>
          <w:sz w:val="26"/>
          <w:szCs w:val="26"/>
          <w:lang w:eastAsia="ru-RU"/>
        </w:rPr>
        <w:br/>
        <w:t>(достигнутого уровня организации труда).</w:t>
      </w:r>
    </w:p>
    <w:p w14:paraId="3E6AA950"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xml:space="preserve">Точность, объективность данных, </w:t>
      </w:r>
      <w:proofErr w:type="spellStart"/>
      <w:r w:rsidRPr="007E5D0E">
        <w:rPr>
          <w:rFonts w:ascii="Arial" w:eastAsia="Times New Roman" w:hAnsi="Arial" w:cs="Arial"/>
          <w:color w:val="3D3D3D"/>
          <w:sz w:val="26"/>
          <w:szCs w:val="26"/>
          <w:lang w:eastAsia="ru-RU"/>
        </w:rPr>
        <w:t>трудоемкость</w:t>
      </w:r>
      <w:proofErr w:type="spellEnd"/>
      <w:r w:rsidRPr="007E5D0E">
        <w:rPr>
          <w:rFonts w:ascii="Arial" w:eastAsia="Times New Roman" w:hAnsi="Arial" w:cs="Arial"/>
          <w:color w:val="3D3D3D"/>
          <w:sz w:val="26"/>
          <w:szCs w:val="26"/>
          <w:lang w:eastAsia="ru-RU"/>
        </w:rPr>
        <w:t xml:space="preserve"> проведения анализа в значительной степени зависят от того, что принято за эталон.</w:t>
      </w:r>
    </w:p>
    <w:p w14:paraId="1CEE457F" w14:textId="5FA4CABA"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noProof/>
          <w:color w:val="3D3D3D"/>
          <w:sz w:val="26"/>
          <w:szCs w:val="26"/>
          <w:lang w:eastAsia="ru-RU"/>
        </w:rPr>
        <w:drawing>
          <wp:inline distT="0" distB="0" distL="0" distR="0" wp14:anchorId="09A1CA31" wp14:editId="629740FB">
            <wp:extent cx="19050" cy="19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7E5D0E">
        <w:rPr>
          <w:rFonts w:ascii="Arial" w:eastAsia="Times New Roman" w:hAnsi="Arial" w:cs="Arial"/>
          <w:color w:val="3D3D3D"/>
          <w:sz w:val="26"/>
          <w:szCs w:val="26"/>
          <w:lang w:eastAsia="ru-RU"/>
        </w:rPr>
        <w:t> Показателем, объективно отражающим изменения в организации труда, является коэффициент использования совокупного потенциального фонда рабочего времени.</w:t>
      </w:r>
    </w:p>
    <w:p w14:paraId="7BECCE08"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w:t>
      </w:r>
    </w:p>
    <w:p w14:paraId="46A91240"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К = Фактически отработанное время всеми работниками / Совокупный потенциальный фонд времени</w:t>
      </w:r>
    </w:p>
    <w:p w14:paraId="5F2DF924"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 </w:t>
      </w:r>
    </w:p>
    <w:p w14:paraId="01BBB665"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Совокупный потенциальный фонд времени определяется следующим образом:</w:t>
      </w:r>
    </w:p>
    <w:p w14:paraId="1950EBC7"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i/>
          <w:iCs/>
          <w:color w:val="3D3D3D"/>
          <w:sz w:val="26"/>
          <w:szCs w:val="26"/>
          <w:lang w:eastAsia="ru-RU"/>
        </w:rPr>
        <w:t>Ф= Ч*Д*П - Р,</w:t>
      </w:r>
    </w:p>
    <w:p w14:paraId="5071F5C7"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где </w:t>
      </w:r>
      <w:r w:rsidRPr="007E5D0E">
        <w:rPr>
          <w:rFonts w:ascii="Arial" w:eastAsia="Times New Roman" w:hAnsi="Arial" w:cs="Arial"/>
          <w:i/>
          <w:iCs/>
          <w:color w:val="3D3D3D"/>
          <w:sz w:val="26"/>
          <w:szCs w:val="26"/>
          <w:lang w:eastAsia="ru-RU"/>
        </w:rPr>
        <w:t>Ф </w:t>
      </w:r>
      <w:r w:rsidRPr="007E5D0E">
        <w:rPr>
          <w:rFonts w:ascii="Arial" w:eastAsia="Times New Roman" w:hAnsi="Arial" w:cs="Arial"/>
          <w:color w:val="3D3D3D"/>
          <w:sz w:val="26"/>
          <w:szCs w:val="26"/>
          <w:lang w:eastAsia="ru-RU"/>
        </w:rPr>
        <w:t>— совокупный потенциальный фонд;</w:t>
      </w:r>
    </w:p>
    <w:p w14:paraId="3EEEC4E2"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i/>
          <w:iCs/>
          <w:color w:val="3D3D3D"/>
          <w:sz w:val="26"/>
          <w:szCs w:val="26"/>
          <w:lang w:eastAsia="ru-RU"/>
        </w:rPr>
        <w:t>Ч</w:t>
      </w:r>
      <w:r w:rsidRPr="007E5D0E">
        <w:rPr>
          <w:rFonts w:ascii="Arial" w:eastAsia="Times New Roman" w:hAnsi="Arial" w:cs="Arial"/>
          <w:color w:val="3D3D3D"/>
          <w:sz w:val="26"/>
          <w:szCs w:val="26"/>
          <w:lang w:eastAsia="ru-RU"/>
        </w:rPr>
        <w:t>—среднесписочная численность;</w:t>
      </w:r>
    </w:p>
    <w:p w14:paraId="6903FA06"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i/>
          <w:iCs/>
          <w:color w:val="3D3D3D"/>
          <w:sz w:val="26"/>
          <w:szCs w:val="26"/>
          <w:lang w:eastAsia="ru-RU"/>
        </w:rPr>
        <w:t>Д</w:t>
      </w:r>
      <w:r w:rsidRPr="007E5D0E">
        <w:rPr>
          <w:rFonts w:ascii="Arial" w:eastAsia="Times New Roman" w:hAnsi="Arial" w:cs="Arial"/>
          <w:color w:val="3D3D3D"/>
          <w:sz w:val="26"/>
          <w:szCs w:val="26"/>
          <w:lang w:eastAsia="ru-RU"/>
        </w:rPr>
        <w:t>— число календарных дней в периоде;</w:t>
      </w:r>
    </w:p>
    <w:p w14:paraId="589BB5E8"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i/>
          <w:iCs/>
          <w:color w:val="3D3D3D"/>
          <w:sz w:val="26"/>
          <w:szCs w:val="26"/>
          <w:lang w:eastAsia="ru-RU"/>
        </w:rPr>
        <w:t>П </w:t>
      </w:r>
      <w:r w:rsidRPr="007E5D0E">
        <w:rPr>
          <w:rFonts w:ascii="Arial" w:eastAsia="Times New Roman" w:hAnsi="Arial" w:cs="Arial"/>
          <w:color w:val="3D3D3D"/>
          <w:sz w:val="26"/>
          <w:szCs w:val="26"/>
          <w:lang w:eastAsia="ru-RU"/>
        </w:rPr>
        <w:t>— продолжительность рабочего дня (по закону);</w:t>
      </w:r>
    </w:p>
    <w:p w14:paraId="689E7D8A"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i/>
          <w:iCs/>
          <w:color w:val="3D3D3D"/>
          <w:sz w:val="26"/>
          <w:szCs w:val="26"/>
          <w:lang w:eastAsia="ru-RU"/>
        </w:rPr>
        <w:t>Р</w:t>
      </w:r>
      <w:r w:rsidRPr="007E5D0E">
        <w:rPr>
          <w:rFonts w:ascii="Arial" w:eastAsia="Times New Roman" w:hAnsi="Arial" w:cs="Arial"/>
          <w:color w:val="3D3D3D"/>
          <w:sz w:val="26"/>
          <w:szCs w:val="26"/>
          <w:lang w:eastAsia="ru-RU"/>
        </w:rPr>
        <w:t>—</w:t>
      </w:r>
      <w:proofErr w:type="spellStart"/>
      <w:r w:rsidRPr="007E5D0E">
        <w:rPr>
          <w:rFonts w:ascii="Arial" w:eastAsia="Times New Roman" w:hAnsi="Arial" w:cs="Arial"/>
          <w:color w:val="3D3D3D"/>
          <w:sz w:val="26"/>
          <w:szCs w:val="26"/>
          <w:lang w:eastAsia="ru-RU"/>
        </w:rPr>
        <w:t>нерезервообразующие</w:t>
      </w:r>
      <w:proofErr w:type="spellEnd"/>
      <w:r w:rsidRPr="007E5D0E">
        <w:rPr>
          <w:rFonts w:ascii="Arial" w:eastAsia="Times New Roman" w:hAnsi="Arial" w:cs="Arial"/>
          <w:color w:val="3D3D3D"/>
          <w:sz w:val="26"/>
          <w:szCs w:val="26"/>
          <w:lang w:eastAsia="ru-RU"/>
        </w:rPr>
        <w:t xml:space="preserve"> неявки (в часах).</w:t>
      </w:r>
    </w:p>
    <w:p w14:paraId="2343056E"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t>Могут использоваться и частные коэффициенты: коэффициент непроизводительных затрат времени, коэффициент нерегламентированных неявок и т.д.</w:t>
      </w:r>
    </w:p>
    <w:p w14:paraId="5D340ED2" w14:textId="77777777" w:rsidR="007E5D0E" w:rsidRPr="007E5D0E" w:rsidRDefault="007E5D0E" w:rsidP="007E5D0E">
      <w:pPr>
        <w:spacing w:before="150" w:after="150" w:line="379" w:lineRule="atLeast"/>
        <w:ind w:left="150" w:right="150"/>
        <w:rPr>
          <w:rFonts w:ascii="Arial" w:eastAsia="Times New Roman" w:hAnsi="Arial" w:cs="Arial"/>
          <w:color w:val="3D3D3D"/>
          <w:sz w:val="26"/>
          <w:szCs w:val="26"/>
          <w:lang w:eastAsia="ru-RU"/>
        </w:rPr>
      </w:pPr>
      <w:r w:rsidRPr="007E5D0E">
        <w:rPr>
          <w:rFonts w:ascii="Arial" w:eastAsia="Times New Roman" w:hAnsi="Arial" w:cs="Arial"/>
          <w:color w:val="3D3D3D"/>
          <w:sz w:val="26"/>
          <w:szCs w:val="26"/>
          <w:lang w:eastAsia="ru-RU"/>
        </w:rPr>
        <w:lastRenderedPageBreak/>
        <w:t>Однако необходимо иметь в виду, что через анализ использования времени не представляется возможным полностью учесть все социальные сдвиги, происходящие под влиянием мероприятий по НОТ. Это прежде всего повышение стабильности коллективов, улучшение в них психологического климата, рост содержательности труда, общеобразовательного и культурно-технического уровня работников. Дать этим изменениям однозначную количественную оценку не всегда возможно. Для более полной оценки уровня организации труда применяют множество частных показателей, не основанных на затратах времени, например, доля ручного и машинного труда, число нарушений трудовой дисциплины, охват работников коллективной формой организацией труда и т.д.</w:t>
      </w:r>
    </w:p>
    <w:p w14:paraId="1278DBD3" w14:textId="500230D7" w:rsidR="007E5D0E" w:rsidRPr="00B51766" w:rsidRDefault="007E5D0E">
      <w:pPr>
        <w:rPr>
          <w:b/>
          <w:bCs/>
          <w:sz w:val="28"/>
          <w:szCs w:val="28"/>
        </w:rPr>
      </w:pPr>
    </w:p>
    <w:p w14:paraId="7F1877D3" w14:textId="452E968B" w:rsidR="007E5D0E" w:rsidRPr="00B51766" w:rsidRDefault="007E5D0E">
      <w:pPr>
        <w:rPr>
          <w:b/>
          <w:bCs/>
          <w:sz w:val="28"/>
          <w:szCs w:val="28"/>
        </w:rPr>
      </w:pPr>
      <w:r w:rsidRPr="00B51766">
        <w:rPr>
          <w:b/>
          <w:bCs/>
          <w:sz w:val="28"/>
          <w:szCs w:val="28"/>
        </w:rPr>
        <w:t>Тема 8</w:t>
      </w:r>
    </w:p>
    <w:p w14:paraId="108D0DAC" w14:textId="77777777" w:rsidR="007E5D0E" w:rsidRDefault="007E5D0E" w:rsidP="007E5D0E">
      <w:pPr>
        <w:pStyle w:val="1"/>
        <w:spacing w:before="450" w:beforeAutospacing="0" w:after="450" w:afterAutospacing="0"/>
        <w:ind w:left="450" w:right="450"/>
        <w:rPr>
          <w:rFonts w:ascii="Roboto" w:hAnsi="Roboto"/>
          <w:color w:val="474747"/>
          <w:sz w:val="30"/>
          <w:szCs w:val="30"/>
        </w:rPr>
      </w:pPr>
      <w:r w:rsidRPr="00B51766">
        <w:rPr>
          <w:rFonts w:ascii="Roboto" w:hAnsi="Roboto"/>
          <w:color w:val="474747"/>
          <w:sz w:val="28"/>
          <w:szCs w:val="28"/>
        </w:rPr>
        <w:t>Аудит нормирования</w:t>
      </w:r>
      <w:r>
        <w:rPr>
          <w:rFonts w:ascii="Roboto" w:hAnsi="Roboto"/>
          <w:color w:val="474747"/>
          <w:sz w:val="30"/>
          <w:szCs w:val="30"/>
        </w:rPr>
        <w:t xml:space="preserve"> труда</w:t>
      </w:r>
    </w:p>
    <w:p w14:paraId="0E524326"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Нормирование труда связано и с производительностью труда, и с организацией труда. Существенна связь с производительностью труда, потому что оперативный контроль за производительностью возможен лишь при наличии норм (трудовой метод измерения производительности </w:t>
      </w:r>
      <w:proofErr w:type="gramStart"/>
      <w:r>
        <w:rPr>
          <w:rFonts w:ascii="Arial" w:hAnsi="Arial" w:cs="Arial"/>
          <w:color w:val="3D3D3D"/>
          <w:sz w:val="26"/>
          <w:szCs w:val="26"/>
        </w:rPr>
        <w:t>труда В связи с этим</w:t>
      </w:r>
      <w:proofErr w:type="gramEnd"/>
      <w:r>
        <w:rPr>
          <w:rFonts w:ascii="Arial" w:hAnsi="Arial" w:cs="Arial"/>
          <w:color w:val="3D3D3D"/>
          <w:sz w:val="26"/>
          <w:szCs w:val="26"/>
        </w:rPr>
        <w:t xml:space="preserve"> даже существует особый вопрос для анализа: влияние пересмотра норм времени на рост выработки. Неразрывная связь у нормирования существует и с организацией труда, так как упоминавшийся эталон организации труда не что иное, как норма.</w:t>
      </w:r>
    </w:p>
    <w:p w14:paraId="04E6BD1C"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Каждое предприятие (объединение) располагает соответствующим нормативным хозяйством,</w:t>
      </w:r>
      <w:r>
        <w:rPr>
          <w:rFonts w:ascii="Arial" w:hAnsi="Arial" w:cs="Arial"/>
          <w:color w:val="3D3D3D"/>
          <w:sz w:val="26"/>
          <w:szCs w:val="26"/>
        </w:rPr>
        <w:br/>
        <w:t>элементы которого могут быть распределены на три группы: нормативы и нормы; правила</w:t>
      </w:r>
      <w:r>
        <w:rPr>
          <w:rFonts w:ascii="Arial" w:hAnsi="Arial" w:cs="Arial"/>
          <w:color w:val="3D3D3D"/>
          <w:sz w:val="26"/>
          <w:szCs w:val="26"/>
        </w:rPr>
        <w:br/>
        <w:t>производства работ; требования и ограничения.</w:t>
      </w:r>
    </w:p>
    <w:p w14:paraId="22F18668"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Особое внимание при анализе нормативов следует обратить на деление персонала по категориям \ (нормирование основных и вспомогательных рабочих, руководителей и специалистов), нормативов —</w:t>
      </w:r>
      <w:r>
        <w:rPr>
          <w:rFonts w:ascii="Arial" w:hAnsi="Arial" w:cs="Arial"/>
          <w:color w:val="3D3D3D"/>
          <w:sz w:val="26"/>
          <w:szCs w:val="26"/>
        </w:rPr>
        <w:br/>
        <w:t>по уровню установления (межотраслевые, отраслевые, местные).</w:t>
      </w:r>
    </w:p>
    <w:p w14:paraId="26BE163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Аудит нормативного хозяйства начинают с определения круга нормативных материалов, которыми располагает предприятие. </w:t>
      </w:r>
      <w:r>
        <w:rPr>
          <w:rFonts w:ascii="Arial" w:hAnsi="Arial" w:cs="Arial"/>
          <w:color w:val="3D3D3D"/>
          <w:sz w:val="26"/>
          <w:szCs w:val="26"/>
        </w:rPr>
        <w:lastRenderedPageBreak/>
        <w:t>Определяется, какие используются нормативные справочники, на все ли виды работ имеются нормативы и виды этих нормативов, когда они были утверждены и какая доля работ нормируется по имеющимся нормативам. Помимо этого определяют:</w:t>
      </w:r>
    </w:p>
    <w:p w14:paraId="65669B3C"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число работников, для нормирования труда которых имеются нормативы;</w:t>
      </w:r>
    </w:p>
    <w:p w14:paraId="2C5E3E8A"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число работников, труд которых фактически нормируется на предприятии, в том числе</w:t>
      </w:r>
      <w:r>
        <w:rPr>
          <w:rFonts w:ascii="Arial" w:hAnsi="Arial" w:cs="Arial"/>
          <w:color w:val="3D3D3D"/>
          <w:sz w:val="26"/>
          <w:szCs w:val="26"/>
        </w:rPr>
        <w:br/>
        <w:t>количество работников, для которых нормы установлены на основе межотраслевых,</w:t>
      </w:r>
      <w:r>
        <w:rPr>
          <w:rFonts w:ascii="Arial" w:hAnsi="Arial" w:cs="Arial"/>
          <w:color w:val="3D3D3D"/>
          <w:sz w:val="26"/>
          <w:szCs w:val="26"/>
        </w:rPr>
        <w:br/>
        <w:t>отраслевых и местных норм и нормативов.</w:t>
      </w:r>
    </w:p>
    <w:p w14:paraId="369203A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Доля нормируемых работ может определяться по </w:t>
      </w:r>
      <w:proofErr w:type="spellStart"/>
      <w:r>
        <w:rPr>
          <w:rFonts w:ascii="Arial" w:hAnsi="Arial" w:cs="Arial"/>
          <w:color w:val="3D3D3D"/>
          <w:sz w:val="26"/>
          <w:szCs w:val="26"/>
        </w:rPr>
        <w:t>трудоемкости</w:t>
      </w:r>
      <w:proofErr w:type="spellEnd"/>
      <w:r>
        <w:rPr>
          <w:rFonts w:ascii="Arial" w:hAnsi="Arial" w:cs="Arial"/>
          <w:color w:val="3D3D3D"/>
          <w:sz w:val="26"/>
          <w:szCs w:val="26"/>
        </w:rPr>
        <w:t xml:space="preserve"> и по численности:</w:t>
      </w:r>
    </w:p>
    <w:p w14:paraId="1AA22CFA" w14:textId="4F8FE9BD"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noProof/>
          <w:color w:val="3D3D3D"/>
          <w:sz w:val="26"/>
          <w:szCs w:val="26"/>
        </w:rPr>
        <w:drawing>
          <wp:inline distT="0" distB="0" distL="0" distR="0" wp14:anchorId="11D4064D" wp14:editId="16FEFF2C">
            <wp:extent cx="603250" cy="336550"/>
            <wp:effectExtent l="0" t="0" r="635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3250" cy="336550"/>
                    </a:xfrm>
                    <a:prstGeom prst="rect">
                      <a:avLst/>
                    </a:prstGeom>
                    <a:noFill/>
                    <a:ln>
                      <a:noFill/>
                    </a:ln>
                  </pic:spPr>
                </pic:pic>
              </a:graphicData>
            </a:graphic>
          </wp:inline>
        </w:drawing>
      </w:r>
    </w:p>
    <w:p w14:paraId="5AA44577" w14:textId="77278950"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noProof/>
          <w:color w:val="3D3D3D"/>
          <w:sz w:val="26"/>
          <w:szCs w:val="26"/>
        </w:rPr>
        <w:drawing>
          <wp:inline distT="0" distB="0" distL="0" distR="0" wp14:anchorId="0E027D49" wp14:editId="2A0E06CC">
            <wp:extent cx="622300" cy="336550"/>
            <wp:effectExtent l="0" t="0" r="635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2300" cy="336550"/>
                    </a:xfrm>
                    <a:prstGeom prst="rect">
                      <a:avLst/>
                    </a:prstGeom>
                    <a:noFill/>
                    <a:ln>
                      <a:noFill/>
                    </a:ln>
                  </pic:spPr>
                </pic:pic>
              </a:graphicData>
            </a:graphic>
          </wp:inline>
        </w:drawing>
      </w:r>
    </w:p>
    <w:p w14:paraId="6B09CD7B"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где </w:t>
      </w:r>
      <w:proofErr w:type="spellStart"/>
      <w:proofErr w:type="gramStart"/>
      <w:r>
        <w:rPr>
          <w:rFonts w:ascii="Arial" w:hAnsi="Arial" w:cs="Arial"/>
          <w:i/>
          <w:iCs/>
          <w:color w:val="3D3D3D"/>
          <w:sz w:val="26"/>
          <w:szCs w:val="26"/>
        </w:rPr>
        <w:t>Тн.р</w:t>
      </w:r>
      <w:proofErr w:type="spellEnd"/>
      <w:proofErr w:type="gramEnd"/>
      <w:r>
        <w:rPr>
          <w:rFonts w:ascii="Arial" w:hAnsi="Arial" w:cs="Arial"/>
          <w:i/>
          <w:iCs/>
          <w:color w:val="3D3D3D"/>
          <w:sz w:val="26"/>
          <w:szCs w:val="26"/>
        </w:rPr>
        <w:t> </w:t>
      </w:r>
      <w:r>
        <w:rPr>
          <w:rFonts w:ascii="Arial" w:hAnsi="Arial" w:cs="Arial"/>
          <w:color w:val="3D3D3D"/>
          <w:sz w:val="26"/>
          <w:szCs w:val="26"/>
        </w:rPr>
        <w:t xml:space="preserve">— </w:t>
      </w:r>
      <w:proofErr w:type="spellStart"/>
      <w:r>
        <w:rPr>
          <w:rFonts w:ascii="Arial" w:hAnsi="Arial" w:cs="Arial"/>
          <w:color w:val="3D3D3D"/>
          <w:sz w:val="26"/>
          <w:szCs w:val="26"/>
        </w:rPr>
        <w:t>трудоемкость</w:t>
      </w:r>
      <w:proofErr w:type="spellEnd"/>
      <w:r>
        <w:rPr>
          <w:rFonts w:ascii="Arial" w:hAnsi="Arial" w:cs="Arial"/>
          <w:color w:val="3D3D3D"/>
          <w:sz w:val="26"/>
          <w:szCs w:val="26"/>
        </w:rPr>
        <w:t xml:space="preserve"> для нормируемых работ; </w:t>
      </w:r>
      <w:proofErr w:type="spellStart"/>
      <w:r>
        <w:rPr>
          <w:rFonts w:ascii="Arial" w:hAnsi="Arial" w:cs="Arial"/>
          <w:i/>
          <w:iCs/>
          <w:color w:val="3D3D3D"/>
          <w:sz w:val="26"/>
          <w:szCs w:val="26"/>
        </w:rPr>
        <w:t>Тобщ</w:t>
      </w:r>
      <w:proofErr w:type="spellEnd"/>
      <w:r>
        <w:rPr>
          <w:rFonts w:ascii="Arial" w:hAnsi="Arial" w:cs="Arial"/>
          <w:i/>
          <w:iCs/>
          <w:color w:val="3D3D3D"/>
          <w:sz w:val="26"/>
          <w:szCs w:val="26"/>
        </w:rPr>
        <w:t> </w:t>
      </w:r>
      <w:r>
        <w:rPr>
          <w:rFonts w:ascii="Arial" w:hAnsi="Arial" w:cs="Arial"/>
          <w:color w:val="3D3D3D"/>
          <w:sz w:val="26"/>
          <w:szCs w:val="26"/>
        </w:rPr>
        <w:t xml:space="preserve">— </w:t>
      </w:r>
      <w:proofErr w:type="spellStart"/>
      <w:r>
        <w:rPr>
          <w:rFonts w:ascii="Arial" w:hAnsi="Arial" w:cs="Arial"/>
          <w:color w:val="3D3D3D"/>
          <w:sz w:val="26"/>
          <w:szCs w:val="26"/>
        </w:rPr>
        <w:t>трудоемкость</w:t>
      </w:r>
      <w:proofErr w:type="spellEnd"/>
      <w:r>
        <w:rPr>
          <w:rFonts w:ascii="Arial" w:hAnsi="Arial" w:cs="Arial"/>
          <w:color w:val="3D3D3D"/>
          <w:sz w:val="26"/>
          <w:szCs w:val="26"/>
        </w:rPr>
        <w:t xml:space="preserve"> общая;</w:t>
      </w:r>
    </w:p>
    <w:p w14:paraId="721CCD0F"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proofErr w:type="spellStart"/>
      <w:proofErr w:type="gramStart"/>
      <w:r>
        <w:rPr>
          <w:rFonts w:ascii="Arial" w:hAnsi="Arial" w:cs="Arial"/>
          <w:i/>
          <w:iCs/>
          <w:color w:val="3D3D3D"/>
          <w:sz w:val="26"/>
          <w:szCs w:val="26"/>
        </w:rPr>
        <w:t>Чн.р</w:t>
      </w:r>
      <w:proofErr w:type="spellEnd"/>
      <w:proofErr w:type="gramEnd"/>
      <w:r>
        <w:rPr>
          <w:rFonts w:ascii="Arial" w:hAnsi="Arial" w:cs="Arial"/>
          <w:i/>
          <w:iCs/>
          <w:color w:val="3D3D3D"/>
          <w:sz w:val="26"/>
          <w:szCs w:val="26"/>
        </w:rPr>
        <w:t> </w:t>
      </w:r>
      <w:r>
        <w:rPr>
          <w:rFonts w:ascii="Arial" w:hAnsi="Arial" w:cs="Arial"/>
          <w:color w:val="3D3D3D"/>
          <w:sz w:val="26"/>
          <w:szCs w:val="26"/>
        </w:rPr>
        <w:t>— численность рабочих для нормируемых работ; </w:t>
      </w:r>
      <w:proofErr w:type="spellStart"/>
      <w:r>
        <w:rPr>
          <w:rFonts w:ascii="Arial" w:hAnsi="Arial" w:cs="Arial"/>
          <w:i/>
          <w:iCs/>
          <w:color w:val="3D3D3D"/>
          <w:sz w:val="26"/>
          <w:szCs w:val="26"/>
        </w:rPr>
        <w:t>Чобщ</w:t>
      </w:r>
      <w:proofErr w:type="spellEnd"/>
      <w:r>
        <w:rPr>
          <w:rFonts w:ascii="Arial" w:hAnsi="Arial" w:cs="Arial"/>
          <w:i/>
          <w:iCs/>
          <w:color w:val="3D3D3D"/>
          <w:sz w:val="26"/>
          <w:szCs w:val="26"/>
        </w:rPr>
        <w:t> </w:t>
      </w:r>
      <w:r>
        <w:rPr>
          <w:rFonts w:ascii="Arial" w:hAnsi="Arial" w:cs="Arial"/>
          <w:color w:val="3D3D3D"/>
          <w:sz w:val="26"/>
          <w:szCs w:val="26"/>
        </w:rPr>
        <w:t>— численность рабочих.</w:t>
      </w:r>
    </w:p>
    <w:p w14:paraId="55F3AF8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Доля нормируемых работ, рассчитанная по отработанному времени (по </w:t>
      </w:r>
      <w:proofErr w:type="spellStart"/>
      <w:r>
        <w:rPr>
          <w:rFonts w:ascii="Arial" w:hAnsi="Arial" w:cs="Arial"/>
          <w:color w:val="3D3D3D"/>
          <w:sz w:val="26"/>
          <w:szCs w:val="26"/>
        </w:rPr>
        <w:t>трудоемкости</w:t>
      </w:r>
      <w:proofErr w:type="spellEnd"/>
      <w:r>
        <w:rPr>
          <w:rFonts w:ascii="Arial" w:hAnsi="Arial" w:cs="Arial"/>
          <w:color w:val="3D3D3D"/>
          <w:sz w:val="26"/>
          <w:szCs w:val="26"/>
        </w:rPr>
        <w:t>), как</w:t>
      </w:r>
    </w:p>
    <w:p w14:paraId="00A1003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правило, ниже, чем доля, рассчитанная по численности работников. Это объясняется тем, что рабочие, труд которых нормируется, часть времени могут затрачивать на выполнение ненормируемых работ.</w:t>
      </w:r>
    </w:p>
    <w:p w14:paraId="3B913C35"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Одно из основных направлений аудита нормирования труда — анализ качества норм труда.</w:t>
      </w:r>
    </w:p>
    <w:p w14:paraId="4DBF800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Он позволяет установить степень обоснованности и прогрессивности действующих на предприятии норм труда и выявить резервы совершенствования.</w:t>
      </w:r>
    </w:p>
    <w:p w14:paraId="469EF8B0"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Качество норм можно определить на стадии установления и на стадии применения. На стадии установления анализируются изменения в количестве и структуре норм. Структура анализируется по двум </w:t>
      </w:r>
      <w:r>
        <w:rPr>
          <w:rFonts w:ascii="Arial" w:hAnsi="Arial" w:cs="Arial"/>
          <w:color w:val="3D3D3D"/>
          <w:sz w:val="26"/>
          <w:szCs w:val="26"/>
        </w:rPr>
        <w:lastRenderedPageBreak/>
        <w:t>направлениям: обоснованности и периоду действия. По обосно</w:t>
      </w:r>
      <w:r>
        <w:rPr>
          <w:rFonts w:ascii="Arial" w:hAnsi="Arial" w:cs="Arial"/>
          <w:color w:val="3D3D3D"/>
          <w:sz w:val="26"/>
          <w:szCs w:val="26"/>
        </w:rPr>
        <w:softHyphen/>
        <w:t>ванности выделяют научно-обоснованные и опытно-статистические нормы.</w:t>
      </w:r>
    </w:p>
    <w:p w14:paraId="5BB74C9B"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По периоду действия различаются условно-постоянные, временные, сезонные и разовые нормы. Особое внимание следует уделить изучению практики установления и действия временных норм. На стадии применения анализируется собственно качество норм по таким признакам, как:</w:t>
      </w:r>
    </w:p>
    <w:p w14:paraId="2202B9E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степень соответствия фактических затрат труда научно-обоснованным нормам;</w:t>
      </w:r>
    </w:p>
    <w:p w14:paraId="5DA222AA"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наличие единой базы при </w:t>
      </w:r>
      <w:proofErr w:type="spellStart"/>
      <w:r>
        <w:rPr>
          <w:rFonts w:ascii="Arial" w:hAnsi="Arial" w:cs="Arial"/>
          <w:color w:val="3D3D3D"/>
          <w:sz w:val="26"/>
          <w:szCs w:val="26"/>
        </w:rPr>
        <w:t>расчете</w:t>
      </w:r>
      <w:proofErr w:type="spellEnd"/>
      <w:r>
        <w:rPr>
          <w:rFonts w:ascii="Arial" w:hAnsi="Arial" w:cs="Arial"/>
          <w:color w:val="3D3D3D"/>
          <w:sz w:val="26"/>
          <w:szCs w:val="26"/>
        </w:rPr>
        <w:t xml:space="preserve"> норм;</w:t>
      </w:r>
    </w:p>
    <w:p w14:paraId="3018AE7F"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соответствие единиц измерения норм принятой системе </w:t>
      </w:r>
      <w:proofErr w:type="spellStart"/>
      <w:r>
        <w:rPr>
          <w:rFonts w:ascii="Arial" w:hAnsi="Arial" w:cs="Arial"/>
          <w:color w:val="3D3D3D"/>
          <w:sz w:val="26"/>
          <w:szCs w:val="26"/>
        </w:rPr>
        <w:t>учета</w:t>
      </w:r>
      <w:proofErr w:type="spellEnd"/>
      <w:r>
        <w:rPr>
          <w:rFonts w:ascii="Arial" w:hAnsi="Arial" w:cs="Arial"/>
          <w:color w:val="3D3D3D"/>
          <w:sz w:val="26"/>
          <w:szCs w:val="26"/>
        </w:rPr>
        <w:t>;</w:t>
      </w:r>
    </w:p>
    <w:p w14:paraId="3DEB16B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w:t>
      </w:r>
      <w:proofErr w:type="spellStart"/>
      <w:r>
        <w:rPr>
          <w:rFonts w:ascii="Arial" w:hAnsi="Arial" w:cs="Arial"/>
          <w:color w:val="3D3D3D"/>
          <w:sz w:val="26"/>
          <w:szCs w:val="26"/>
        </w:rPr>
        <w:t>равнонапряженность</w:t>
      </w:r>
      <w:proofErr w:type="spellEnd"/>
      <w:r>
        <w:rPr>
          <w:rFonts w:ascii="Arial" w:hAnsi="Arial" w:cs="Arial"/>
          <w:color w:val="3D3D3D"/>
          <w:sz w:val="26"/>
          <w:szCs w:val="26"/>
        </w:rPr>
        <w:t xml:space="preserve"> норм труда;</w:t>
      </w:r>
    </w:p>
    <w:p w14:paraId="7ED2C5B0"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понятность нормы исполнителю.</w:t>
      </w:r>
    </w:p>
    <w:p w14:paraId="76F6EA05"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В числовом виде легко представляются первое и </w:t>
      </w:r>
      <w:proofErr w:type="spellStart"/>
      <w:r>
        <w:rPr>
          <w:rFonts w:ascii="Arial" w:hAnsi="Arial" w:cs="Arial"/>
          <w:color w:val="3D3D3D"/>
          <w:sz w:val="26"/>
          <w:szCs w:val="26"/>
        </w:rPr>
        <w:t>четвертое</w:t>
      </w:r>
      <w:proofErr w:type="spellEnd"/>
      <w:r>
        <w:rPr>
          <w:rFonts w:ascii="Arial" w:hAnsi="Arial" w:cs="Arial"/>
          <w:color w:val="3D3D3D"/>
          <w:sz w:val="26"/>
          <w:szCs w:val="26"/>
        </w:rPr>
        <w:t xml:space="preserve"> требование (как обратное к первому). Таким образом, аудит нормативно-методических материалов на предприятии способствует созданию хорошего по качеству нормативного хозяйства.</w:t>
      </w:r>
    </w:p>
    <w:p w14:paraId="27523F38" w14:textId="5F06DEAF" w:rsidR="007E5D0E" w:rsidRDefault="007E5D0E"/>
    <w:p w14:paraId="336135D3" w14:textId="77777777" w:rsidR="007E5D0E" w:rsidRDefault="007E5D0E" w:rsidP="007E5D0E">
      <w:pPr>
        <w:pStyle w:val="1"/>
        <w:spacing w:before="450" w:beforeAutospacing="0" w:after="450" w:afterAutospacing="0"/>
        <w:ind w:left="450" w:right="450"/>
        <w:rPr>
          <w:rFonts w:ascii="Roboto" w:hAnsi="Roboto"/>
          <w:color w:val="474747"/>
          <w:sz w:val="30"/>
          <w:szCs w:val="30"/>
        </w:rPr>
      </w:pPr>
      <w:r>
        <w:rPr>
          <w:rFonts w:ascii="Roboto" w:hAnsi="Roboto"/>
          <w:color w:val="474747"/>
          <w:sz w:val="30"/>
          <w:szCs w:val="30"/>
        </w:rPr>
        <w:t>Аудит найма и увольнений персонала</w:t>
      </w:r>
    </w:p>
    <w:p w14:paraId="335ABF30"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Style w:val="a4"/>
          <w:rFonts w:ascii="Arial" w:hAnsi="Arial" w:cs="Arial"/>
          <w:color w:val="3D3D3D"/>
          <w:sz w:val="26"/>
          <w:szCs w:val="26"/>
        </w:rPr>
        <w:t>Наем на работу</w:t>
      </w:r>
      <w:r>
        <w:rPr>
          <w:rFonts w:ascii="Arial" w:hAnsi="Arial" w:cs="Arial"/>
          <w:color w:val="3D3D3D"/>
          <w:sz w:val="26"/>
          <w:szCs w:val="26"/>
        </w:rPr>
        <w:t> – это система управленческих действий, направленных на привлечение на имеющиеся вакансии претендентов, соответствующих по своим профессиональным знаниям и навыкам требованиям рабочих мест и способных решать стратегические задачи предприятия.</w:t>
      </w:r>
    </w:p>
    <w:p w14:paraId="3B655E9E"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Style w:val="a4"/>
          <w:rFonts w:ascii="Arial" w:hAnsi="Arial" w:cs="Arial"/>
          <w:color w:val="3D3D3D"/>
          <w:sz w:val="26"/>
          <w:szCs w:val="26"/>
        </w:rPr>
        <w:t>Цель аудита найма персонала</w:t>
      </w:r>
      <w:r>
        <w:rPr>
          <w:rFonts w:ascii="Arial" w:hAnsi="Arial" w:cs="Arial"/>
          <w:color w:val="3D3D3D"/>
          <w:sz w:val="26"/>
          <w:szCs w:val="26"/>
        </w:rPr>
        <w:t> – оценка социальной и экономической эффективности процесса управления набором и отбором персонала.</w:t>
      </w:r>
    </w:p>
    <w:p w14:paraId="3AEBA67F"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Аудит действий, направленных на привлечение персонала в организацию с </w:t>
      </w:r>
      <w:proofErr w:type="spellStart"/>
      <w:r>
        <w:rPr>
          <w:rFonts w:ascii="Arial" w:hAnsi="Arial" w:cs="Arial"/>
          <w:color w:val="3D3D3D"/>
          <w:sz w:val="26"/>
          <w:szCs w:val="26"/>
        </w:rPr>
        <w:t>учетом</w:t>
      </w:r>
      <w:proofErr w:type="spellEnd"/>
      <w:r>
        <w:rPr>
          <w:rFonts w:ascii="Arial" w:hAnsi="Arial" w:cs="Arial"/>
          <w:color w:val="3D3D3D"/>
          <w:sz w:val="26"/>
          <w:szCs w:val="26"/>
        </w:rPr>
        <w:t xml:space="preserve"> </w:t>
      </w:r>
      <w:proofErr w:type="gramStart"/>
      <w:r>
        <w:rPr>
          <w:rFonts w:ascii="Arial" w:hAnsi="Arial" w:cs="Arial"/>
          <w:color w:val="3D3D3D"/>
          <w:sz w:val="26"/>
          <w:szCs w:val="26"/>
        </w:rPr>
        <w:t>плановых потребностей</w:t>
      </w:r>
      <w:proofErr w:type="gramEnd"/>
      <w:r>
        <w:rPr>
          <w:rFonts w:ascii="Arial" w:hAnsi="Arial" w:cs="Arial"/>
          <w:color w:val="3D3D3D"/>
          <w:sz w:val="26"/>
          <w:szCs w:val="26"/>
        </w:rPr>
        <w:t xml:space="preserve"> состоит в том, чтобы оценить:</w:t>
      </w:r>
    </w:p>
    <w:p w14:paraId="7D5F1A78"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адекватность «философии» привлечения персонала стратегии развития организации и социальной ответственности;</w:t>
      </w:r>
    </w:p>
    <w:p w14:paraId="4487609C"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оказание помощи в трудоустройстве тем, кто нуждается в социальной защите;</w:t>
      </w:r>
    </w:p>
    <w:p w14:paraId="1892139F"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lastRenderedPageBreak/>
        <w:t>– используемую процедуру выбора вариантов привлечения персонала;</w:t>
      </w:r>
    </w:p>
    <w:p w14:paraId="37077129"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установленную процедуру привлечения персонала на вакантные должности;</w:t>
      </w:r>
    </w:p>
    <w:p w14:paraId="338D06CA"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методику отбора персонала;</w:t>
      </w:r>
    </w:p>
    <w:p w14:paraId="444A4581"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отсутствие/наличие дискриминации при найме персонала;</w:t>
      </w:r>
    </w:p>
    <w:p w14:paraId="705942B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соблюдение работодателем квоты </w:t>
      </w:r>
      <w:proofErr w:type="spellStart"/>
      <w:r>
        <w:rPr>
          <w:rFonts w:ascii="Arial" w:hAnsi="Arial" w:cs="Arial"/>
          <w:color w:val="3D3D3D"/>
          <w:sz w:val="26"/>
          <w:szCs w:val="26"/>
        </w:rPr>
        <w:t>приема</w:t>
      </w:r>
      <w:proofErr w:type="spellEnd"/>
      <w:r>
        <w:rPr>
          <w:rFonts w:ascii="Arial" w:hAnsi="Arial" w:cs="Arial"/>
          <w:color w:val="3D3D3D"/>
          <w:sz w:val="26"/>
          <w:szCs w:val="26"/>
        </w:rPr>
        <w:t xml:space="preserve"> лиц, имеющих проблемы с трудоустройством;</w:t>
      </w:r>
    </w:p>
    <w:p w14:paraId="2B60A8E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w:t>
      </w:r>
      <w:proofErr w:type="spellStart"/>
      <w:r>
        <w:rPr>
          <w:rFonts w:ascii="Arial" w:hAnsi="Arial" w:cs="Arial"/>
          <w:color w:val="3D3D3D"/>
          <w:sz w:val="26"/>
          <w:szCs w:val="26"/>
        </w:rPr>
        <w:t>учет</w:t>
      </w:r>
      <w:proofErr w:type="spellEnd"/>
      <w:r>
        <w:rPr>
          <w:rFonts w:ascii="Arial" w:hAnsi="Arial" w:cs="Arial"/>
          <w:color w:val="3D3D3D"/>
          <w:sz w:val="26"/>
          <w:szCs w:val="26"/>
        </w:rPr>
        <w:t xml:space="preserve"> </w:t>
      </w:r>
      <w:proofErr w:type="gramStart"/>
      <w:r>
        <w:rPr>
          <w:rFonts w:ascii="Arial" w:hAnsi="Arial" w:cs="Arial"/>
          <w:color w:val="3D3D3D"/>
          <w:sz w:val="26"/>
          <w:szCs w:val="26"/>
        </w:rPr>
        <w:t>интересов</w:t>
      </w:r>
      <w:proofErr w:type="gramEnd"/>
      <w:r>
        <w:rPr>
          <w:rFonts w:ascii="Arial" w:hAnsi="Arial" w:cs="Arial"/>
          <w:color w:val="3D3D3D"/>
          <w:sz w:val="26"/>
          <w:szCs w:val="26"/>
        </w:rPr>
        <w:t xml:space="preserve"> вновь принятых на работу при расстановке их по рабочим местам;</w:t>
      </w:r>
    </w:p>
    <w:p w14:paraId="363C00FB"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условия адаптации персонала;</w:t>
      </w:r>
    </w:p>
    <w:p w14:paraId="36FE61F8"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уровень «акклиматизации» новых сотрудников;</w:t>
      </w:r>
    </w:p>
    <w:p w14:paraId="58013731"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количество (%) уволившихся из числа принятых на работу за последний год.</w:t>
      </w:r>
    </w:p>
    <w:p w14:paraId="41AF334F"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Style w:val="a4"/>
          <w:rFonts w:ascii="Arial" w:hAnsi="Arial" w:cs="Arial"/>
          <w:color w:val="3D3D3D"/>
          <w:sz w:val="26"/>
          <w:szCs w:val="26"/>
        </w:rPr>
        <w:t>Информационная база,</w:t>
      </w:r>
      <w:r>
        <w:rPr>
          <w:rFonts w:ascii="Arial" w:hAnsi="Arial" w:cs="Arial"/>
          <w:color w:val="3D3D3D"/>
          <w:sz w:val="26"/>
          <w:szCs w:val="26"/>
        </w:rPr>
        <w:t xml:space="preserve"> анализируемая аудитором, включает в себя: Трудовой кодекс РФ; стандарты и положения МОТ и других международных организаций; постановления Минздравсоцразвития; Единый тарифно-квалификационный справочник работ и профессий рабочих; Квалификационный справочник руководителей, специалистов и других служащих; документацию предприятия по организационно-нормативному регулированию процедуры найма персонала; должностные инструкции; штатное расписание; положения о структурных подразделениях; документацию предприятия по организационно-распределительной деятельности (приказы о зачислении на работу и др.); заявки от структурных подразделений в адрес кадровой службы о потребности в вакансиях; отраслевое и региональное соглашения, коллективный договор; документы по </w:t>
      </w:r>
      <w:proofErr w:type="spellStart"/>
      <w:r>
        <w:rPr>
          <w:rFonts w:ascii="Arial" w:hAnsi="Arial" w:cs="Arial"/>
          <w:color w:val="3D3D3D"/>
          <w:sz w:val="26"/>
          <w:szCs w:val="26"/>
        </w:rPr>
        <w:t>учету</w:t>
      </w:r>
      <w:proofErr w:type="spellEnd"/>
      <w:r>
        <w:rPr>
          <w:rFonts w:ascii="Arial" w:hAnsi="Arial" w:cs="Arial"/>
          <w:color w:val="3D3D3D"/>
          <w:sz w:val="26"/>
          <w:szCs w:val="26"/>
        </w:rPr>
        <w:t xml:space="preserve"> кадров; трудовые договоры.</w:t>
      </w:r>
    </w:p>
    <w:p w14:paraId="795035BD"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Style w:val="a4"/>
          <w:rFonts w:ascii="Arial" w:hAnsi="Arial" w:cs="Arial"/>
          <w:color w:val="3D3D3D"/>
          <w:sz w:val="26"/>
          <w:szCs w:val="26"/>
        </w:rPr>
        <w:t>Основные направления аудиторской проверки:</w:t>
      </w:r>
    </w:p>
    <w:p w14:paraId="152A7DE9"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1. Оценка соответствия системы найма требованиям российского законодательства и международным нормам и стандартам,</w:t>
      </w:r>
    </w:p>
    <w:p w14:paraId="1A2D1D01"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2. Оценка действенности системы найма персонала</w:t>
      </w:r>
    </w:p>
    <w:p w14:paraId="4FBE5C2B"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3. Оценка эффективности управления системой найма персонала</w:t>
      </w:r>
    </w:p>
    <w:p w14:paraId="54E2CF49"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lastRenderedPageBreak/>
        <w:t>Планируя работу </w:t>
      </w:r>
      <w:r>
        <w:rPr>
          <w:rFonts w:ascii="Arial" w:hAnsi="Arial" w:cs="Arial"/>
          <w:i/>
          <w:iCs/>
          <w:color w:val="3D3D3D"/>
          <w:sz w:val="26"/>
          <w:szCs w:val="26"/>
        </w:rPr>
        <w:t>по первому направлению</w:t>
      </w:r>
      <w:r>
        <w:rPr>
          <w:rFonts w:ascii="Arial" w:hAnsi="Arial" w:cs="Arial"/>
          <w:color w:val="3D3D3D"/>
          <w:sz w:val="26"/>
          <w:szCs w:val="26"/>
        </w:rPr>
        <w:t>, аудитор получает ответ на следующие вопросы:</w:t>
      </w:r>
    </w:p>
    <w:p w14:paraId="1C37126A"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соответствуют ли применяемые документы по найму типовой документации;</w:t>
      </w:r>
    </w:p>
    <w:p w14:paraId="07CA3FC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имели ли место за проверяемый период нарушения при установлении трудовых правоотношений между работником и работодателем, и каков преимущественный характер этих нарушений;</w:t>
      </w:r>
    </w:p>
    <w:p w14:paraId="74FCA16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соответствует ли содержание трудового договора требованиям законодательства;</w:t>
      </w:r>
    </w:p>
    <w:p w14:paraId="1AC81761"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не противоречат ли специальные методы отбора кандидатов законодательным и иным нормативным правовым документам;</w:t>
      </w:r>
    </w:p>
    <w:p w14:paraId="09359193"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o правильно ли </w:t>
      </w:r>
      <w:proofErr w:type="spellStart"/>
      <w:r>
        <w:rPr>
          <w:rFonts w:ascii="Arial" w:hAnsi="Arial" w:cs="Arial"/>
          <w:color w:val="3D3D3D"/>
          <w:sz w:val="26"/>
          <w:szCs w:val="26"/>
        </w:rPr>
        <w:t>ведется</w:t>
      </w:r>
      <w:proofErr w:type="spellEnd"/>
      <w:r>
        <w:rPr>
          <w:rFonts w:ascii="Arial" w:hAnsi="Arial" w:cs="Arial"/>
          <w:color w:val="3D3D3D"/>
          <w:sz w:val="26"/>
          <w:szCs w:val="26"/>
        </w:rPr>
        <w:t xml:space="preserve"> оформление на работу (записи в заявлениях о </w:t>
      </w:r>
      <w:proofErr w:type="spellStart"/>
      <w:r>
        <w:rPr>
          <w:rFonts w:ascii="Arial" w:hAnsi="Arial" w:cs="Arial"/>
          <w:color w:val="3D3D3D"/>
          <w:sz w:val="26"/>
          <w:szCs w:val="26"/>
        </w:rPr>
        <w:t>приеме</w:t>
      </w:r>
      <w:proofErr w:type="spellEnd"/>
      <w:r>
        <w:rPr>
          <w:rFonts w:ascii="Arial" w:hAnsi="Arial" w:cs="Arial"/>
          <w:color w:val="3D3D3D"/>
          <w:sz w:val="26"/>
          <w:szCs w:val="26"/>
        </w:rPr>
        <w:t xml:space="preserve">, трудовых книжках, личных карточках работающих, приказах или распоряжениях о </w:t>
      </w:r>
      <w:proofErr w:type="spellStart"/>
      <w:r>
        <w:rPr>
          <w:rFonts w:ascii="Arial" w:hAnsi="Arial" w:cs="Arial"/>
          <w:color w:val="3D3D3D"/>
          <w:sz w:val="26"/>
          <w:szCs w:val="26"/>
        </w:rPr>
        <w:t>приеме</w:t>
      </w:r>
      <w:proofErr w:type="spellEnd"/>
      <w:r>
        <w:rPr>
          <w:rFonts w:ascii="Arial" w:hAnsi="Arial" w:cs="Arial"/>
          <w:color w:val="3D3D3D"/>
          <w:sz w:val="26"/>
          <w:szCs w:val="26"/>
        </w:rPr>
        <w:t>);</w:t>
      </w:r>
    </w:p>
    <w:p w14:paraId="671E63C1"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не нарушается ли законодательство при заключении договоров с внешними источниками набора и контроле их исполнения;</w:t>
      </w:r>
    </w:p>
    <w:p w14:paraId="13E5DB87"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o соответствует ли требованиям законодательства порядок </w:t>
      </w:r>
      <w:proofErr w:type="spellStart"/>
      <w:r>
        <w:rPr>
          <w:rFonts w:ascii="Arial" w:hAnsi="Arial" w:cs="Arial"/>
          <w:color w:val="3D3D3D"/>
          <w:sz w:val="26"/>
          <w:szCs w:val="26"/>
        </w:rPr>
        <w:t>приема</w:t>
      </w:r>
      <w:proofErr w:type="spellEnd"/>
      <w:r>
        <w:rPr>
          <w:rFonts w:ascii="Arial" w:hAnsi="Arial" w:cs="Arial"/>
          <w:color w:val="3D3D3D"/>
          <w:sz w:val="26"/>
          <w:szCs w:val="26"/>
        </w:rPr>
        <w:t xml:space="preserve"> на работу лиц от 14 до 16 лет;</w:t>
      </w:r>
    </w:p>
    <w:p w14:paraId="7423798B"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o не нарушается ли законодательство при </w:t>
      </w:r>
      <w:proofErr w:type="spellStart"/>
      <w:r>
        <w:rPr>
          <w:rFonts w:ascii="Arial" w:hAnsi="Arial" w:cs="Arial"/>
          <w:color w:val="3D3D3D"/>
          <w:sz w:val="26"/>
          <w:szCs w:val="26"/>
        </w:rPr>
        <w:t>приеме</w:t>
      </w:r>
      <w:proofErr w:type="spellEnd"/>
      <w:r>
        <w:rPr>
          <w:rFonts w:ascii="Arial" w:hAnsi="Arial" w:cs="Arial"/>
          <w:color w:val="3D3D3D"/>
          <w:sz w:val="26"/>
          <w:szCs w:val="26"/>
        </w:rPr>
        <w:t xml:space="preserve"> на работу иностранной рабочей силы;</w:t>
      </w:r>
    </w:p>
    <w:p w14:paraId="0FFACFD9"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o имеет ли место дискриминация при </w:t>
      </w:r>
      <w:proofErr w:type="spellStart"/>
      <w:r>
        <w:rPr>
          <w:rFonts w:ascii="Arial" w:hAnsi="Arial" w:cs="Arial"/>
          <w:color w:val="3D3D3D"/>
          <w:sz w:val="26"/>
          <w:szCs w:val="26"/>
        </w:rPr>
        <w:t>приеме</w:t>
      </w:r>
      <w:proofErr w:type="spellEnd"/>
      <w:r>
        <w:rPr>
          <w:rFonts w:ascii="Arial" w:hAnsi="Arial" w:cs="Arial"/>
          <w:color w:val="3D3D3D"/>
          <w:sz w:val="26"/>
          <w:szCs w:val="26"/>
        </w:rPr>
        <w:t xml:space="preserve"> на работу по национальным признакам, полу, возрасту, другим причинам дискриминационного характера.[21]</w:t>
      </w:r>
    </w:p>
    <w:p w14:paraId="24045F2C"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Аудитору следует учитывать, как Конвенция МОТ о дискриминации в области труда и занятий, принятая в 1958 г. (№ 111), определяет вероятное основание для дискриминации: «Всякое различие, недопущение или предпочтение, проводимое по признаку расы, цвета кожи, пола, религии, политических убеждений, иностранного происхождения или социального происхождения, приводящее к уничтожению или нарушению равенства возможностей или обращения в области труда и занятий» (статья 1, параграф 1(а))[22]</w:t>
      </w:r>
    </w:p>
    <w:p w14:paraId="56C3DC5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Содержание работы аудитора по второму направлению – оценке действенности системы найма персонала – включает в себя оценку:</w:t>
      </w:r>
    </w:p>
    <w:p w14:paraId="32E81E9D"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lastRenderedPageBreak/>
        <w:t>o технологии и особенностей работы с источниками набора;</w:t>
      </w:r>
    </w:p>
    <w:p w14:paraId="0DEB4B4C"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технологии планирования потребности в персонале;</w:t>
      </w:r>
    </w:p>
    <w:p w14:paraId="16B4696B"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системы требований к персоналу, претендующему на вакансии;</w:t>
      </w:r>
    </w:p>
    <w:p w14:paraId="223CFA4D"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технологии отбора кандидатов на вакантные должности;</w:t>
      </w:r>
    </w:p>
    <w:p w14:paraId="185B19F1"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o организационному обеспечению адаптации вновь принятого персонала.</w:t>
      </w:r>
    </w:p>
    <w:p w14:paraId="79FEEE57"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При оценке планирования потребности в персонале аудитор проверяет соответствие количественных и качественных показателей программе производства и реализации; анализирует качество используемой методики планирования персонала; выполнение мероприятий покрытия потребности в персонале.</w:t>
      </w:r>
    </w:p>
    <w:p w14:paraId="440A7DDC"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При оценке эффективности управления системой найма персонала, </w:t>
      </w:r>
      <w:proofErr w:type="spellStart"/>
      <w:r>
        <w:rPr>
          <w:rFonts w:ascii="Arial" w:hAnsi="Arial" w:cs="Arial"/>
          <w:color w:val="3D3D3D"/>
          <w:sz w:val="26"/>
          <w:szCs w:val="26"/>
        </w:rPr>
        <w:t>включенной</w:t>
      </w:r>
      <w:proofErr w:type="spellEnd"/>
      <w:r>
        <w:rPr>
          <w:rFonts w:ascii="Arial" w:hAnsi="Arial" w:cs="Arial"/>
          <w:color w:val="3D3D3D"/>
          <w:sz w:val="26"/>
          <w:szCs w:val="26"/>
        </w:rPr>
        <w:t xml:space="preserve"> в </w:t>
      </w:r>
      <w:r>
        <w:rPr>
          <w:rFonts w:ascii="Arial" w:hAnsi="Arial" w:cs="Arial"/>
          <w:i/>
          <w:iCs/>
          <w:color w:val="3D3D3D"/>
          <w:sz w:val="26"/>
          <w:szCs w:val="26"/>
        </w:rPr>
        <w:t>третье направление</w:t>
      </w:r>
      <w:r>
        <w:rPr>
          <w:rFonts w:ascii="Arial" w:hAnsi="Arial" w:cs="Arial"/>
          <w:color w:val="3D3D3D"/>
          <w:sz w:val="26"/>
          <w:szCs w:val="26"/>
        </w:rPr>
        <w:t xml:space="preserve"> проверки, аудитор сопоставляет затраты на наем персонала с результатами. Затраты включают в себя: оплату труда работников, участвующих в процессе набора и отбора персонала; финансовые затраты на размещение рекламы, подготовку различных бланков, </w:t>
      </w:r>
      <w:proofErr w:type="spellStart"/>
      <w:r>
        <w:rPr>
          <w:rFonts w:ascii="Arial" w:hAnsi="Arial" w:cs="Arial"/>
          <w:color w:val="3D3D3D"/>
          <w:sz w:val="26"/>
          <w:szCs w:val="26"/>
        </w:rPr>
        <w:t>профессиограмм</w:t>
      </w:r>
      <w:proofErr w:type="spellEnd"/>
      <w:r>
        <w:rPr>
          <w:rFonts w:ascii="Arial" w:hAnsi="Arial" w:cs="Arial"/>
          <w:color w:val="3D3D3D"/>
          <w:sz w:val="26"/>
          <w:szCs w:val="26"/>
        </w:rPr>
        <w:t xml:space="preserve">, методик тестирования; стоимость договоров с кадровыми агентствами; амортизацию специального оборудования для проведения тестирования претендентов на вакансии. Результаты определяются показателями производительности, качества труда, текучести, нарушений режима труда, сроками адаптации вновь принятых работников, числом уволившихся в течение года после </w:t>
      </w:r>
      <w:proofErr w:type="spellStart"/>
      <w:r>
        <w:rPr>
          <w:rFonts w:ascii="Arial" w:hAnsi="Arial" w:cs="Arial"/>
          <w:color w:val="3D3D3D"/>
          <w:sz w:val="26"/>
          <w:szCs w:val="26"/>
        </w:rPr>
        <w:t>приема</w:t>
      </w:r>
      <w:proofErr w:type="spellEnd"/>
      <w:r>
        <w:rPr>
          <w:rFonts w:ascii="Arial" w:hAnsi="Arial" w:cs="Arial"/>
          <w:color w:val="3D3D3D"/>
          <w:sz w:val="26"/>
          <w:szCs w:val="26"/>
        </w:rPr>
        <w:t xml:space="preserve"> на работу;</w:t>
      </w:r>
    </w:p>
    <w:p w14:paraId="618B3D4F"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В качестве критериев оценки соотношения результатов и затрат аудитор также может использовать: средние затраты времени (денежных средств) на одного принятого работника; затраты на адаптацию вновь принятых работников.</w:t>
      </w:r>
    </w:p>
    <w:p w14:paraId="35BBD81E"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Style w:val="a4"/>
          <w:rFonts w:ascii="Arial" w:hAnsi="Arial" w:cs="Arial"/>
          <w:color w:val="3D3D3D"/>
          <w:sz w:val="26"/>
          <w:szCs w:val="26"/>
        </w:rPr>
        <w:t>Оценка выполнения функции подбора</w:t>
      </w:r>
      <w:r>
        <w:rPr>
          <w:rFonts w:ascii="Arial" w:hAnsi="Arial" w:cs="Arial"/>
          <w:color w:val="3D3D3D"/>
          <w:sz w:val="26"/>
          <w:szCs w:val="26"/>
        </w:rPr>
        <w:t> может быть произведена по следующим показателям:</w:t>
      </w:r>
    </w:p>
    <w:p w14:paraId="025EB74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содержание документов, определяющих перечень требований к будущим работникам;</w:t>
      </w:r>
    </w:p>
    <w:p w14:paraId="06A9604E"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время существования вакансии;</w:t>
      </w:r>
    </w:p>
    <w:p w14:paraId="2AE0577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отношение числа откликнувшихся на объявление о вакансии к числу получивших приглашение на участие в конкурсе на </w:t>
      </w:r>
      <w:proofErr w:type="spellStart"/>
      <w:r>
        <w:rPr>
          <w:rFonts w:ascii="Arial" w:hAnsi="Arial" w:cs="Arial"/>
          <w:color w:val="3D3D3D"/>
          <w:sz w:val="26"/>
          <w:szCs w:val="26"/>
        </w:rPr>
        <w:t>нее</w:t>
      </w:r>
      <w:proofErr w:type="spellEnd"/>
      <w:r>
        <w:rPr>
          <w:rFonts w:ascii="Arial" w:hAnsi="Arial" w:cs="Arial"/>
          <w:color w:val="3D3D3D"/>
          <w:sz w:val="26"/>
          <w:szCs w:val="26"/>
        </w:rPr>
        <w:t>;</w:t>
      </w:r>
    </w:p>
    <w:p w14:paraId="7B878957"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lastRenderedPageBreak/>
        <w:t>· отношение количества получивших приглашение на собеседование к количеству принятых на работу;</w:t>
      </w:r>
    </w:p>
    <w:p w14:paraId="19ACD6DE"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отношение числа закрепившихся на рабочем месте к количеству принятых;</w:t>
      </w:r>
    </w:p>
    <w:p w14:paraId="16BBAF15"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отношение числа удовлетворивших свои притязания из бывших претендентов к количеству принятых на работу;</w:t>
      </w:r>
    </w:p>
    <w:p w14:paraId="3938877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число заполненных вакансий за </w:t>
      </w:r>
      <w:proofErr w:type="spellStart"/>
      <w:r>
        <w:rPr>
          <w:rFonts w:ascii="Arial" w:hAnsi="Arial" w:cs="Arial"/>
          <w:color w:val="3D3D3D"/>
          <w:sz w:val="26"/>
          <w:szCs w:val="26"/>
        </w:rPr>
        <w:t>счет</w:t>
      </w:r>
      <w:proofErr w:type="spellEnd"/>
      <w:r>
        <w:rPr>
          <w:rFonts w:ascii="Arial" w:hAnsi="Arial" w:cs="Arial"/>
          <w:color w:val="3D3D3D"/>
          <w:sz w:val="26"/>
          <w:szCs w:val="26"/>
        </w:rPr>
        <w:t xml:space="preserve"> перемещения уже занятых на предприятии в общем количестве вакансий;</w:t>
      </w:r>
    </w:p>
    <w:p w14:paraId="48B14A47"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наличие запаса профессиональных знаний и навыков, готовности к непрерывному повышению квалификации, необходимых для участия в решении стратегических задач предприятия;</w:t>
      </w:r>
    </w:p>
    <w:p w14:paraId="547B572A"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xml:space="preserve">· отношение стоимости мероприятий, связанных с объявлениями о вакансиях, </w:t>
      </w:r>
      <w:proofErr w:type="spellStart"/>
      <w:r>
        <w:rPr>
          <w:rFonts w:ascii="Arial" w:hAnsi="Arial" w:cs="Arial"/>
          <w:color w:val="3D3D3D"/>
          <w:sz w:val="26"/>
          <w:szCs w:val="26"/>
        </w:rPr>
        <w:t>приемом</w:t>
      </w:r>
      <w:proofErr w:type="spellEnd"/>
      <w:r>
        <w:rPr>
          <w:rFonts w:ascii="Arial" w:hAnsi="Arial" w:cs="Arial"/>
          <w:color w:val="3D3D3D"/>
          <w:sz w:val="26"/>
          <w:szCs w:val="26"/>
        </w:rPr>
        <w:t xml:space="preserve"> и отбором к числу приступивших к работе;</w:t>
      </w:r>
    </w:p>
    <w:p w14:paraId="1ACBCA2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статистика нарушений правил, норм и режимов труда среди принятых на работу в течение последнего года;</w:t>
      </w:r>
    </w:p>
    <w:p w14:paraId="17167F6D"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 результаты труда вновь принятых работников за последний год.</w:t>
      </w:r>
    </w:p>
    <w:p w14:paraId="552342DA"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Аудиту подлежит не только набор и отбор, но и </w:t>
      </w:r>
      <w:r>
        <w:rPr>
          <w:rStyle w:val="a4"/>
          <w:rFonts w:ascii="Arial" w:hAnsi="Arial" w:cs="Arial"/>
          <w:color w:val="3D3D3D"/>
          <w:sz w:val="26"/>
          <w:szCs w:val="26"/>
        </w:rPr>
        <w:t>расстановка нанятого персонала</w:t>
      </w:r>
      <w:r>
        <w:rPr>
          <w:rFonts w:ascii="Arial" w:hAnsi="Arial" w:cs="Arial"/>
          <w:color w:val="3D3D3D"/>
          <w:sz w:val="26"/>
          <w:szCs w:val="26"/>
        </w:rPr>
        <w:t>. При аудите расстановки оценивается соответствие распределения работников по рабочим местам их интересам, с одной стороны, и потребностям предприятия – с другой. При этом аудитор выясняет, в какой степени обеспечивается:</w:t>
      </w:r>
    </w:p>
    <w:p w14:paraId="44C87F4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равномерность и оптимальность загрузки персонала на всех рабочих местах;</w:t>
      </w:r>
    </w:p>
    <w:p w14:paraId="5AC6ED8D"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соответствие уровня профессиональной подготовки и навыков персонала требованиям рабочего места и должностных инструкций.</w:t>
      </w:r>
    </w:p>
    <w:p w14:paraId="1C942D9D"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Реализация интересов вновь нанятого работника и его производительность труда зависят в значительной степени от </w:t>
      </w:r>
      <w:r>
        <w:rPr>
          <w:rStyle w:val="a4"/>
          <w:rFonts w:ascii="Arial" w:hAnsi="Arial" w:cs="Arial"/>
          <w:color w:val="3D3D3D"/>
          <w:sz w:val="26"/>
          <w:szCs w:val="26"/>
        </w:rPr>
        <w:t>процесса адаптации</w:t>
      </w:r>
      <w:r>
        <w:rPr>
          <w:rFonts w:ascii="Arial" w:hAnsi="Arial" w:cs="Arial"/>
          <w:color w:val="3D3D3D"/>
          <w:sz w:val="26"/>
          <w:szCs w:val="26"/>
        </w:rPr>
        <w:t>. Оценка результативности процесса адаптации вновь нанятого персонала производится по следующим показателям:</w:t>
      </w:r>
    </w:p>
    <w:p w14:paraId="7BA6AF62"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содержание программы адаптации персонала;</w:t>
      </w:r>
    </w:p>
    <w:p w14:paraId="44A32A27"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proofErr w:type="spellStart"/>
      <w:r>
        <w:rPr>
          <w:rFonts w:ascii="Arial" w:hAnsi="Arial" w:cs="Arial"/>
          <w:color w:val="3D3D3D"/>
          <w:sz w:val="26"/>
          <w:szCs w:val="26"/>
        </w:rPr>
        <w:t>учет</w:t>
      </w:r>
      <w:proofErr w:type="spellEnd"/>
      <w:r>
        <w:rPr>
          <w:rFonts w:ascii="Arial" w:hAnsi="Arial" w:cs="Arial"/>
          <w:color w:val="3D3D3D"/>
          <w:sz w:val="26"/>
          <w:szCs w:val="26"/>
        </w:rPr>
        <w:t xml:space="preserve"> в программе адаптации личных и профессиональных качеств вновь нанятого персонала;</w:t>
      </w:r>
    </w:p>
    <w:p w14:paraId="4294F535"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lastRenderedPageBreak/>
        <w:t>наличие в программе адаптации информации об особенностях производства, корпоративной этике, социально-психологическом климате, правилах поведения в организации;</w:t>
      </w:r>
    </w:p>
    <w:p w14:paraId="678FC054"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участие профсоюза в реализации программы адаптации;</w:t>
      </w:r>
    </w:p>
    <w:p w14:paraId="10D23AB3" w14:textId="77777777" w:rsidR="007E5D0E" w:rsidRDefault="007E5D0E" w:rsidP="007E5D0E">
      <w:pPr>
        <w:pStyle w:val="a3"/>
        <w:spacing w:before="150" w:beforeAutospacing="0" w:after="150" w:afterAutospacing="0" w:line="379" w:lineRule="atLeast"/>
        <w:ind w:left="150" w:right="150"/>
        <w:rPr>
          <w:rFonts w:ascii="Arial" w:hAnsi="Arial" w:cs="Arial"/>
          <w:color w:val="3D3D3D"/>
          <w:sz w:val="26"/>
          <w:szCs w:val="26"/>
        </w:rPr>
      </w:pPr>
      <w:r>
        <w:rPr>
          <w:rFonts w:ascii="Arial" w:hAnsi="Arial" w:cs="Arial"/>
          <w:color w:val="3D3D3D"/>
          <w:sz w:val="26"/>
          <w:szCs w:val="26"/>
        </w:rPr>
        <w:t>сроки адаптации рабочих, специалистов и руководителей.</w:t>
      </w:r>
    </w:p>
    <w:p w14:paraId="2599D66A" w14:textId="6C2292E2" w:rsidR="007E5D0E" w:rsidRDefault="007E5D0E"/>
    <w:p w14:paraId="0569C83D" w14:textId="77777777" w:rsidR="007E5D0E" w:rsidRDefault="007E5D0E"/>
    <w:sectPr w:rsidR="007E5D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41"/>
    <w:rsid w:val="0004134C"/>
    <w:rsid w:val="00510A41"/>
    <w:rsid w:val="007E5D0E"/>
    <w:rsid w:val="00B31B99"/>
    <w:rsid w:val="00B51766"/>
    <w:rsid w:val="00B66C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8984"/>
  <w15:chartTrackingRefBased/>
  <w15:docId w15:val="{A0E78F8C-14B1-4473-81E4-7F6E0265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7E5D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5D0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E5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E5D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111765">
      <w:bodyDiv w:val="1"/>
      <w:marLeft w:val="0"/>
      <w:marRight w:val="0"/>
      <w:marTop w:val="0"/>
      <w:marBottom w:val="0"/>
      <w:divBdr>
        <w:top w:val="none" w:sz="0" w:space="0" w:color="auto"/>
        <w:left w:val="none" w:sz="0" w:space="0" w:color="auto"/>
        <w:bottom w:val="none" w:sz="0" w:space="0" w:color="auto"/>
        <w:right w:val="none" w:sz="0" w:space="0" w:color="auto"/>
      </w:divBdr>
    </w:div>
    <w:div w:id="576014422">
      <w:bodyDiv w:val="1"/>
      <w:marLeft w:val="0"/>
      <w:marRight w:val="0"/>
      <w:marTop w:val="0"/>
      <w:marBottom w:val="0"/>
      <w:divBdr>
        <w:top w:val="none" w:sz="0" w:space="0" w:color="auto"/>
        <w:left w:val="none" w:sz="0" w:space="0" w:color="auto"/>
        <w:bottom w:val="none" w:sz="0" w:space="0" w:color="auto"/>
        <w:right w:val="none" w:sz="0" w:space="0" w:color="auto"/>
      </w:divBdr>
    </w:div>
    <w:div w:id="190860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2168</Words>
  <Characters>12360</Characters>
  <Application>Microsoft Office Word</Application>
  <DocSecurity>0</DocSecurity>
  <Lines>103</Lines>
  <Paragraphs>28</Paragraphs>
  <ScaleCrop>false</ScaleCrop>
  <Company/>
  <LinksUpToDate>false</LinksUpToDate>
  <CharactersWithSpaces>14500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5</cp:revision>
  <dcterms:created xsi:type="dcterms:W3CDTF">2021-06-02T16:02:00Z</dcterms:created>
  <dcterms:modified xsi:type="dcterms:W3CDTF">2021-06-02T16:13:00Z</dcterms:modified>
</cp:coreProperties>
</file>