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0" w:after="0"/>
        <w:ind w:firstLine="709"/>
        <w:jc w:val="righ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Калиева Н.С, 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Д-ПБ-31</w:t>
      </w:r>
    </w:p>
    <w:p>
      <w:pPr>
        <w:pStyle w:val="Normal"/>
        <w:spacing w:lineRule="auto" w:line="276"/>
        <w:ind w:firstLine="709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8"/>
          <w:szCs w:val="28"/>
        </w:rPr>
        <w:t>Семинарское занятие № 5</w:t>
      </w:r>
    </w:p>
    <w:p>
      <w:pPr>
        <w:pStyle w:val="Normal"/>
        <w:spacing w:lineRule="auto" w:line="276"/>
        <w:ind w:firstLine="709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8"/>
          <w:szCs w:val="28"/>
        </w:rPr>
        <w:t>Отрасли специальной психологии: олигофренопсихология, тифлопсихология, сурдопсихология, психология детей с ЗПР, психология детей с ОДА, психология детей дошкольного возраста с аномалиями в развитии (2ч)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8"/>
          <w:szCs w:val="28"/>
        </w:rPr>
        <w:t>1. Умственная отсталость. Степени УО. Психологическая характеристика детей с нарушениями интеллекта. Коррекционная работа с детьми с нарушениями интеллекта: А) психологическое сопровождение в дошкольных и школьных учреждениях; Б) основные направления коррекционной работы в данных учреждениях</w:t>
      </w:r>
    </w:p>
    <w:p>
      <w:pPr>
        <w:pStyle w:val="Normal"/>
        <w:widowControl/>
        <w:tabs>
          <w:tab w:val="clear" w:pos="708"/>
          <w:tab w:val="left" w:pos="1920" w:leader="none"/>
          <w:tab w:val="left" w:pos="2160" w:leader="none"/>
        </w:tabs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Умственная отсталость </w:t>
      </w:r>
      <w:r>
        <w:rPr>
          <w:rFonts w:ascii="Times New Roman" w:hAnsi="Times New Roman"/>
          <w:bCs/>
          <w:sz w:val="28"/>
          <w:szCs w:val="28"/>
        </w:rPr>
        <w:t>– это приобретенное в раннем возрасте или врожденное психологическое недоразвитие, вызванное органической патологией, главным проявлением которого является интеллектуальная отсталость и социальная дезаптация. Проявляется в первую очередь в отношении разума (логичность действий, решение простейших задач), а также проявляется в сфере эмоций, воли, речи и моторики.</w:t>
      </w:r>
    </w:p>
    <w:tbl>
      <w:tblPr>
        <w:tblStyle w:val="a4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392"/>
        <w:gridCol w:w="2393"/>
        <w:gridCol w:w="2392"/>
        <w:gridCol w:w="2393"/>
      </w:tblGrid>
      <w:tr>
        <w:trPr/>
        <w:tc>
          <w:tcPr>
            <w:tcW w:w="2392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920" w:leader="none"/>
                <w:tab w:val="left" w:pos="216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Степень умственной</w:t>
            </w:r>
          </w:p>
          <w:p>
            <w:pPr>
              <w:pStyle w:val="Normal"/>
              <w:widowControl/>
              <w:tabs>
                <w:tab w:val="clear" w:pos="708"/>
                <w:tab w:val="left" w:pos="1920" w:leader="none"/>
                <w:tab w:val="left" w:pos="216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отсталости</w:t>
            </w:r>
          </w:p>
        </w:tc>
        <w:tc>
          <w:tcPr>
            <w:tcW w:w="2393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920" w:leader="none"/>
                <w:tab w:val="left" w:pos="216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Традиционный термин</w:t>
            </w:r>
          </w:p>
        </w:tc>
        <w:tc>
          <w:tcPr>
            <w:tcW w:w="2392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920" w:leader="none"/>
                <w:tab w:val="left" w:pos="216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Коэффициент</w:t>
            </w:r>
          </w:p>
          <w:p>
            <w:pPr>
              <w:pStyle w:val="Normal"/>
              <w:widowControl/>
              <w:tabs>
                <w:tab w:val="clear" w:pos="708"/>
                <w:tab w:val="left" w:pos="1920" w:leader="none"/>
                <w:tab w:val="left" w:pos="216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интеллекта</w:t>
            </w:r>
          </w:p>
        </w:tc>
        <w:tc>
          <w:tcPr>
            <w:tcW w:w="2393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920" w:leader="none"/>
                <w:tab w:val="left" w:pos="216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Психологический</w:t>
            </w:r>
          </w:p>
          <w:p>
            <w:pPr>
              <w:pStyle w:val="Normal"/>
              <w:widowControl/>
              <w:tabs>
                <w:tab w:val="clear" w:pos="708"/>
                <w:tab w:val="left" w:pos="1920" w:leader="none"/>
                <w:tab w:val="left" w:pos="216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возраст</w:t>
            </w:r>
          </w:p>
        </w:tc>
      </w:tr>
      <w:tr>
        <w:trPr/>
        <w:tc>
          <w:tcPr>
            <w:tcW w:w="2392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920" w:leader="none"/>
                <w:tab w:val="left" w:pos="216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Легкая</w:t>
            </w:r>
          </w:p>
        </w:tc>
        <w:tc>
          <w:tcPr>
            <w:tcW w:w="2393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920" w:leader="none"/>
                <w:tab w:val="left" w:pos="216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Дебильность</w:t>
            </w:r>
          </w:p>
        </w:tc>
        <w:tc>
          <w:tcPr>
            <w:tcW w:w="2392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920" w:leader="none"/>
                <w:tab w:val="left" w:pos="216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50-69</w:t>
            </w:r>
          </w:p>
        </w:tc>
        <w:tc>
          <w:tcPr>
            <w:tcW w:w="2393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920" w:leader="none"/>
                <w:tab w:val="left" w:pos="216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9-12 лет</w:t>
            </w:r>
          </w:p>
        </w:tc>
      </w:tr>
      <w:tr>
        <w:trPr/>
        <w:tc>
          <w:tcPr>
            <w:tcW w:w="2392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920" w:leader="none"/>
                <w:tab w:val="left" w:pos="216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Умеренная</w:t>
            </w:r>
          </w:p>
        </w:tc>
        <w:tc>
          <w:tcPr>
            <w:tcW w:w="2393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920" w:leader="none"/>
                <w:tab w:val="left" w:pos="216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Нерезко выраженная имбецильность</w:t>
            </w:r>
          </w:p>
        </w:tc>
        <w:tc>
          <w:tcPr>
            <w:tcW w:w="2392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920" w:leader="none"/>
                <w:tab w:val="left" w:pos="216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35-49</w:t>
            </w:r>
          </w:p>
        </w:tc>
        <w:tc>
          <w:tcPr>
            <w:tcW w:w="2393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920" w:leader="none"/>
                <w:tab w:val="left" w:pos="216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6-9 лет</w:t>
            </w:r>
          </w:p>
        </w:tc>
      </w:tr>
      <w:tr>
        <w:trPr/>
        <w:tc>
          <w:tcPr>
            <w:tcW w:w="2392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920" w:leader="none"/>
                <w:tab w:val="left" w:pos="216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Тяжелая</w:t>
            </w:r>
          </w:p>
        </w:tc>
        <w:tc>
          <w:tcPr>
            <w:tcW w:w="2393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920" w:leader="none"/>
                <w:tab w:val="left" w:pos="216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Выраженная имбецильность</w:t>
            </w:r>
          </w:p>
        </w:tc>
        <w:tc>
          <w:tcPr>
            <w:tcW w:w="2392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920" w:leader="none"/>
                <w:tab w:val="left" w:pos="216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20-34</w:t>
            </w:r>
          </w:p>
        </w:tc>
        <w:tc>
          <w:tcPr>
            <w:tcW w:w="2393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920" w:leader="none"/>
                <w:tab w:val="left" w:pos="216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3-6 лет</w:t>
            </w:r>
          </w:p>
        </w:tc>
      </w:tr>
      <w:tr>
        <w:trPr/>
        <w:tc>
          <w:tcPr>
            <w:tcW w:w="2392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920" w:leader="none"/>
                <w:tab w:val="left" w:pos="216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Глубокая</w:t>
            </w:r>
          </w:p>
        </w:tc>
        <w:tc>
          <w:tcPr>
            <w:tcW w:w="2393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920" w:leader="none"/>
                <w:tab w:val="left" w:pos="216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Идиотия</w:t>
            </w:r>
          </w:p>
        </w:tc>
        <w:tc>
          <w:tcPr>
            <w:tcW w:w="2392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920" w:leader="none"/>
                <w:tab w:val="left" w:pos="216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До 20</w:t>
            </w:r>
          </w:p>
        </w:tc>
        <w:tc>
          <w:tcPr>
            <w:tcW w:w="2393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1920" w:leader="none"/>
                <w:tab w:val="left" w:pos="216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До 3 лет</w:t>
            </w:r>
          </w:p>
        </w:tc>
      </w:tr>
    </w:tbl>
    <w:p>
      <w:pPr>
        <w:pStyle w:val="Normal"/>
        <w:widowControl/>
        <w:tabs>
          <w:tab w:val="clear" w:pos="708"/>
          <w:tab w:val="left" w:pos="1920" w:leader="none"/>
          <w:tab w:val="left" w:pos="2160" w:leader="none"/>
        </w:tabs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По глубине нарушения </w:t>
      </w:r>
      <w:r>
        <w:rPr>
          <w:rFonts w:ascii="Times New Roman" w:hAnsi="Times New Roman"/>
          <w:bCs/>
          <w:sz w:val="28"/>
          <w:szCs w:val="28"/>
        </w:rPr>
        <w:t>умственная отсталость при олигофрении традиционно подразделяется на три степени: идиотия, имбецильность и дебильность. Умственно отсталые дети различаются с точки зрения выраженности дефекта, измеряемого по степени общего психического недоразвития по тесту интеллекта Векслера в условных единицах. Дети с легкими степенями умственной отсталости (дебильность) составляют 75–80%. Их уровень интеллектуального развития (IQ) составляет 50–70 условных единиц. После обучения в специальных школах или классах, находящихся при школах общего назначения, а также при обучении по индивидуальному образовательному маршруту в школах интегративного (инклюзивного) вида многие из них могут социально адаптироваться, получить несложную профессию и трудоустриться.</w:t>
      </w:r>
    </w:p>
    <w:p>
      <w:pPr>
        <w:pStyle w:val="Normal"/>
        <w:widowControl/>
        <w:tabs>
          <w:tab w:val="clear" w:pos="708"/>
          <w:tab w:val="left" w:pos="1920" w:leader="none"/>
          <w:tab w:val="left" w:pos="2160" w:leader="none"/>
        </w:tabs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Дети со средней выраженностью отсталости (имбецильность) представлены примерно в 15 % случаев. Их уровень интеллектуального развития (IQ) составляет от 20 до 50 условных единиц. В настоящее время некоторые из них (с умеренной умственной отсталостью (IQ 35–49) посещают специальную школу (школа VIII вида), учатся в специальных классах этой школы. Есть попытки обучения этой группы детей и в школах общего назначения по индивидуальной образовательной программе с упором на формирование житейских компетенций. Их трудоустройство затруднено, хотя имеются и успешные случаи в этой области. Дети другой группы с выраженной умственной отсталостью (IQ, 20–34) овладевают лишь навыками самообслуживания и простейшими трудовыми операциями. Раньше такие дети в основном воспитывались в интернатных учреждениях Министерства социальной защиты населения, в настоящее время в связи развитием системы комплексной психолого-педагогической и медицинской помощи семьям, имеющим таких детей, наблюдаются процессы деинституализации, т.е. все большее количество детей с выраженной умственной отсталостью воспитываются в семьях.</w:t>
      </w:r>
    </w:p>
    <w:p>
      <w:pPr>
        <w:pStyle w:val="Normal"/>
        <w:widowControl/>
        <w:tabs>
          <w:tab w:val="clear" w:pos="708"/>
          <w:tab w:val="left" w:pos="1920" w:leader="none"/>
          <w:tab w:val="left" w:pos="2160" w:leader="none"/>
        </w:tabs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Глубоко умственно отсталые дети (идиотия) в большинстве своем до недавнего времени пожизненно находились в интернатах Министерства социальной защиты населения. В настоящее время все большее их число по желанию родителей живут в семьях. Их общее количество – примерно 5% от всех умственно отсталых детей. Мышление таких детей практически полностью неразвито, возможна избирательная эмоциональная привязанность таких детей к близким взрослым. Дети часто нс овладевают даже элементарными навыками самообслуживания, их IQ менее 20 единиц.</w:t>
      </w:r>
    </w:p>
    <w:p>
      <w:pPr>
        <w:pStyle w:val="Normal"/>
        <w:widowControl/>
        <w:tabs>
          <w:tab w:val="clear" w:pos="708"/>
          <w:tab w:val="left" w:pos="1920" w:leader="none"/>
          <w:tab w:val="left" w:pos="2160" w:leader="none"/>
        </w:tabs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Как правило, у всех умственно отсталых дошкольников наблюдается отсутствие или значительное снижение интереса к окружающему, общая патологическая инертность, что, однако, не исключает крикливости, беспокойства, раздражительности и расторможенности. В дальнейшем у них не возникает интерес к игрушкам, подвешенным над кроваткой или находящимся в руках взрослого. Не происходит и своевременного перехода к общению со взрослыми на основе совместных действий с игрушками, не возникает новая форма общения, свойственная младенческому возрасту в норме, – жестовая. Это сказывается на развитии первых действий с предметами (хватании) и восприятия, тесно связанного в этот период с хватанием. Не развиваются своевременно и предпосылки развития речи: предметное восприятие и предметные действия, общение со взрослыми и, в частности, доречевые средства общения. Наблюдается недоразвитие артикуляционного аппарата и фонематического слуха, в результате у умственно отсталых детей не возникает своевременно не только лепет, но и гуление. Это процессы рефлекторные, в норме они появляются в самые первые месяцы жизни ребенка, протекают в основном независимо от условий окружающей среды, от влияния взрослых и связаны непосредственно с состоянием ЦНС.</w:t>
      </w:r>
    </w:p>
    <w:p>
      <w:pPr>
        <w:pStyle w:val="Normal"/>
        <w:widowControl/>
        <w:tabs>
          <w:tab w:val="clear" w:pos="708"/>
          <w:tab w:val="left" w:pos="1920" w:leader="none"/>
          <w:tab w:val="left" w:pos="2160" w:leader="none"/>
        </w:tabs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целом умственно отсталый ребенок в раннем возрасте имеет существенные отклонения в психическом и речевом развитии.</w:t>
      </w:r>
    </w:p>
    <w:p>
      <w:pPr>
        <w:pStyle w:val="Normal"/>
        <w:widowControl/>
        <w:tabs>
          <w:tab w:val="clear" w:pos="708"/>
          <w:tab w:val="left" w:pos="1920" w:leader="none"/>
          <w:tab w:val="left" w:pos="2160" w:leader="none"/>
        </w:tabs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то же время тенденции развития умственно отсталого ребенка те же, что и нормально развивающихся сверстников. Многое в их развитии – отставание в овладении предметными действиями, развитие речи и познавательных процессов – в значительной мере носит вторичный характер. При правильной организации жизни умственно отсталого ребенка, требующей возможно более раннего включения специального обучения и воспитания, многие дефекты развития могут быть скорригированы и предупреждены.</w:t>
      </w:r>
    </w:p>
    <w:p>
      <w:pPr>
        <w:pStyle w:val="Normal"/>
        <w:widowControl/>
        <w:tabs>
          <w:tab w:val="clear" w:pos="708"/>
          <w:tab w:val="left" w:pos="1920" w:leader="none"/>
          <w:tab w:val="left" w:pos="2160" w:leader="none"/>
        </w:tabs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Перцептивные действия у умственно отсталых детей начинают формироваться в дошкольном возрасте. На основе появившегося у ребенка интереса к предметам, игрушкам возникают и простейшие представления об их свойствах и отношениях. В этом плане переломным годом для умственно отсталого ребенка является пятый год, когда дети уже могут делать выбор по образцу: по цвету, форме, величине. У отдельных детей имеется также продвижение в развитии целостного восприятия. Однако все это проявляется скорее как тенденция развития. К концу дошкольного возраста лишь немногим больше половины умственно отсталых детей достигают уровня развития восприятия, характерного для начала дошкольного возраста у нормально развивающихся детей.</w:t>
      </w:r>
    </w:p>
    <w:p>
      <w:pPr>
        <w:pStyle w:val="Normal"/>
        <w:widowControl/>
        <w:tabs>
          <w:tab w:val="clear" w:pos="708"/>
          <w:tab w:val="left" w:pos="1920" w:leader="none"/>
          <w:tab w:val="left" w:pos="2160" w:leader="none"/>
        </w:tabs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П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сихологическое сопровождение </w:t>
      </w:r>
      <w:r>
        <w:rPr>
          <w:rFonts w:ascii="Times New Roman" w:hAnsi="Times New Roman"/>
          <w:bCs/>
          <w:color w:val="000000"/>
          <w:sz w:val="28"/>
          <w:szCs w:val="28"/>
        </w:rPr>
        <w:t>в усло</w:t>
      </w:r>
      <w:r>
        <w:rPr>
          <w:rFonts w:ascii="Times New Roman" w:hAnsi="Times New Roman"/>
          <w:bCs/>
          <w:sz w:val="28"/>
          <w:szCs w:val="28"/>
        </w:rPr>
        <w:t xml:space="preserve">виях непрерывного образования заключается в содействии гармоничному психическому и физическому развитию ребёнка, в сохранении его индивидуальности, в обеспечении «безболезненной» адаптации к изменяющейся социальной ситуации и воспитание готовности к активному взаимодействию с окружающим миром. Цель работы по психологическому сопровождению преемственности заключается в создании оптимальных условий для перехода из детского сада в начальную школу. Психологическое сопровождение детей в рамках перехода из детского сада в начальную школу проводится по 4-м основным направлениям: организационном, методическом, исследовательском и развивающем. В рамках организационного направления главным является организация и поддержание сотрудничества воспитателей и педагогов, дошкольников и младших школьников, а также родителей. Одним из приёмов, обеспечивающих такое сотрудничество, является организация совместной деятельности дошкольников и младших школьников. </w:t>
      </w:r>
    </w:p>
    <w:p>
      <w:pPr>
        <w:pStyle w:val="Normal"/>
        <w:widowControl/>
        <w:tabs>
          <w:tab w:val="clear" w:pos="708"/>
          <w:tab w:val="left" w:pos="1920" w:leader="none"/>
          <w:tab w:val="left" w:pos="2160" w:leader="none"/>
        </w:tabs>
        <w:spacing w:lineRule="auto" w:line="276" w:before="0"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>Методическое направление</w:t>
      </w:r>
      <w:r>
        <w:rPr>
          <w:rFonts w:cs="Times New Roman" w:ascii="Times New Roman" w:hAnsi="Times New Roman"/>
          <w:bCs/>
          <w:color w:val="FF0000"/>
          <w:sz w:val="28"/>
          <w:szCs w:val="28"/>
        </w:rPr>
        <w:t xml:space="preserve"> </w:t>
      </w:r>
      <w:r>
        <w:rPr>
          <w:rFonts w:cs="Times New Roman" w:ascii="Times New Roman" w:hAnsi="Times New Roman"/>
          <w:bCs/>
          <w:sz w:val="28"/>
          <w:szCs w:val="28"/>
        </w:rPr>
        <w:t xml:space="preserve">в системе психологического сопровождения преемственности предполагает работу психолога, направленную на повышение психологической грамотности и компетентности педагогов и воспитателей. Она осуществляется в форме психологических лекториев, мастер-классов, семинаров, круглых столов и т. д. Их участниками являются представители администрации, воспитатели и педагоги дошкольного учреждения и школы, что позволяет вырабатывать согласованные действия педагогов по подготовке «безболезненного» перехода детей из детского сада в первый класс. Исследовательское направление включает изучение влияния инновационных подходов и технологий обучения на психическое развитие. Это направление предполагает проведение не только психодиагностической работы с дошкольниками и младшими школьниками, но и собственно исследовательской, направленной на отслеживание особенностей психического развития ребёнка. Важную роль в решении этой задачи играет психологическая служба школы, которая проводит непрерывный психологический мониторинг. Всё это позволяет создать единую систему информационного обеспечения педагогов и воспитателей, позволяет получать сведения об обеспеченности развития каждого ребёнка дошкольного и младшего школьного возраста. Развивающее направление работы заключается в оптимальном использовании возможностей учебно-воспитательного процесса и группового взаимодействия в целях обеспечения непрерывного поступательного развития ребёнка на этапе «детский сад — начальная школа». Развивающее направление работы включает в себя формирование и коррекцию психологической готовности ребёнка к переходу из дошкольного учреждения в школу, выяснение особенностей адаптации ребёнка к школьному обучению и устранение причин возможной дезадаптации, развитие интеллектуальных и личных качеств в период начального школьного обучения. Психологу здесь принадлежит основная координирующая роль. Он, совместно с другими специалистами выбирает адекватные формы и методы реализации психического сопровождения, организует и координирует работу педагогов, воспитателей, родителей, детей и «наполняет» её конкретным психологическим содержанием. 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8"/>
          <w:szCs w:val="28"/>
        </w:rPr>
        <w:t>2. Понятие ЗПР, Классификация ЗПР. Психолого-педагогическая характеристика вариантов ЗПР. Типы учреждений для детей с ЗПР. Основные направления диагностико-коррекционной работы.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8"/>
          <w:szCs w:val="28"/>
          <w:u w:val="single"/>
        </w:rPr>
        <w:t>Задержка психического развития (ЗПР)</w:t>
      </w:r>
      <w:r>
        <w:rPr>
          <w:rFonts w:cs="Times New Roman" w:ascii="Times New Roman" w:hAnsi="Times New Roman"/>
          <w:sz w:val="28"/>
          <w:szCs w:val="28"/>
        </w:rPr>
        <w:t xml:space="preserve"> – это темповое отставание развития психических процессов и незрелость эмоционально-волевой сферы у детей, которые потенциально могут быть преодолены с помощью специально организованного обучения и воспитания.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Психолого-педагогическая характеристика вариантов ЗПР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-ребенок с ЗПР уже на первый взгляд не вписывается в атмосферу класса массовой школы своей наивностью, несамостоятельностью, непосредственностью, он часто конфликтует со сверстниками, не воспринимает и не выполняет школьных требований, но в то же время он прекрасно чувствует себя в игре, прибегая к ней в тех случаях, когда возникает необходимость уйти от трудной для него учебной деятельности, хотя высшие формы игры со строгими правилами (например, сюжетно-ролевые игры) детям с ЗПР недоступны и вызывают страх или отказ играть;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-не осознавая себя учеником и не понимая мотивов учебной деятельности и ее целей, такой ребенок затрудняется в организации собственной целенаправленной деятельности;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-информацию, идущую от учителя, ученик воспринимает замедленно и так же ее перерабатывает, а для более полного восприятия он нуждается в наглядно-практической опоре и в предельной развернутости инструкций. Словесно-логическое мышление недоразвито, поэтому ребенок долго не может освоить свернутые мыслительные операции;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-у детей с ЗПР низкий уровень работоспособности, быстрая утомляемость, объем и темп работы ниже, чем у нормального ребенка;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-для них недоступно обучение по программе массовой школы, усвоение которой не соответствует темпу их индивидуального развития;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-в массовой школе такой ребенок впервые начинает осознавать свою несостоятельность как ученика, у него возникает чувство неуверенности в себе, страх перед наказанием и уход в более доступную деятельность.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Внимание детей с ЗПР характеризуется: неустойчивостью, большой отвлекаемостью, недостаточной концентрированностью на объекте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Восприятие не сводится к сумме отдельных ощущений, так как формирование целостного образа предмета - это результат сложного взаимодействия ощущений уже имеющихся в коре головного мозга следов прошлых восприятий.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Все исследователи клинических проявлений ЗПР отмечают, что у этих детей есть недостатки и в мыслительной деятельности. Это отчетливо проявляется в тех трудностях, которые испытывают дети в процессе решения арифметических задач, в овладении навыками письма и чтения.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По сравнению с нормальными детьми дети с ЗПР характеризуются сниженным уровнем познавательной активности. Это проявляется в недостаточной любознательности.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bCs/>
          <w:sz w:val="28"/>
          <w:szCs w:val="28"/>
          <w:u w:val="single"/>
        </w:rPr>
        <w:t>Направления коррекционно – развивающей работы учителя - логопеда с детьми, имеющими ОВЗ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sz w:val="28"/>
          <w:szCs w:val="28"/>
        </w:rPr>
        <w:t xml:space="preserve">— </w:t>
      </w:r>
      <w:r>
        <w:rPr>
          <w:rFonts w:cs="Times New Roman" w:ascii="Times New Roman" w:hAnsi="Times New Roman"/>
          <w:sz w:val="28"/>
          <w:szCs w:val="28"/>
        </w:rPr>
        <w:t>диагностическая работа обеспечивает своевременное выявление детей с ограниченными возможностями здоровья, проведение их комплексного обследования и подготовку рекомендаций по оказанию им психологомедико-педагогической помощи в условиях образовательного учреждения;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—</w:t>
      </w:r>
      <w:r>
        <w:rPr>
          <w:rFonts w:cs="Times New Roman" w:ascii="Times New Roman" w:hAnsi="Times New Roman"/>
          <w:sz w:val="28"/>
          <w:szCs w:val="28"/>
        </w:rPr>
        <w:t>коррекционно-развивающая работа обеспечивает своевременную специализированную помощь в освоении содержания образования и коррекцию недостатков в физическом и (или) психическом развитии детей с ограниченными возможностями здоровья в условиях общеобразовательного учреждения; способствует формированию универсальных учебных действий обучающихся (личностных, регулятивных, познавательных, коммуникативных);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-консультативная работа обеспечивает актуальность, системность и гибкость работы с детьми с ограниченными возможностями здоровья и их семей по вопросам реализации дифференцированных психологопедагогических условий обучения, воспитания, коррекции, развития и социализации обучающихся;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 xml:space="preserve">— </w:t>
      </w:r>
      <w:r>
        <w:rPr>
          <w:rFonts w:cs="Times New Roman" w:ascii="Times New Roman" w:hAnsi="Times New Roman"/>
          <w:sz w:val="28"/>
          <w:szCs w:val="28"/>
        </w:rPr>
        <w:t>информационно-просветительская работа по вопросам, связанным с особенностями образовательного процесса для данной категории детей, со всеми участниками образовательного процесса — обучающимися (как имеющими, так и не имеющими дезадаптивные особенности развития), их родителями (законными представителями), педагогическими работниками.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8"/>
          <w:szCs w:val="28"/>
        </w:rPr>
        <w:t>3. Виды сенсорных нарушений, их влияние на психическое развитие. Причины нарушений слуха, зрения. Особенности коррекционной работы с детьми с нарушениями слуха, зрения.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 xml:space="preserve">Среди основных форм сенсорных нарушений принято выделять следующие: </w:t>
      </w:r>
      <w:r>
        <w:rPr>
          <w:rFonts w:cs="Times New Roman" w:ascii="Times New Roman" w:hAnsi="Times New Roman"/>
          <w:b/>
          <w:bCs/>
          <w:sz w:val="28"/>
          <w:szCs w:val="28"/>
        </w:rPr>
        <w:t>эмоционально-сенсорные нарушения, зрительная, слуховая, тактильная агнозии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Сенсорные нарушения </w:t>
      </w:r>
      <w:r>
        <w:rPr>
          <w:rFonts w:cs="Times New Roman" w:ascii="Times New Roman" w:hAnsi="Times New Roman"/>
          <w:sz w:val="28"/>
          <w:szCs w:val="28"/>
        </w:rPr>
        <w:t>лишают ребенка важнейших источников информации, что обусловливает его отставание не только в психическом, но и в физическом плане. Степень выраженности отставания в значительной мере зависит от тяжести и времени возникновения сенсорных нарушений, а также раннего начала специальной коррекционно-реабилитационной работы.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Причинами сенсорных нарушений могут стать различные травмы (например, головы или спины), инфекционные и вирусные заболевания, как ребенка, так и матери во время беременности, венерические заболевания родителей, патологические состояния беременности и родов. Очень часто сенсорные нарушения наблюдают у глубоко недоношенных детей.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Особенности коррекционной работы с детьми с нарушениями слуха, зрения.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Дети с проблемами остроты зрения имеют особенности в развитии и требуют иного и подхода к обучению, чем те, кто видит хорошо. Прежде всего, это проявляется компенсаторным развитием других органов чувств, позволяющих познавать мир – осязания, слуха. В зависимости от степени ослабления зрения методики донесения знаний до них будут различаться. По причине, вызвавшей нарушения зрения их классифицируют на: врожденные, наследственные, приобретенные. Обучение детей с нарушениями зрения должно учитывать рекомендации окулиста.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Чем раньше начаты систематические коррекционные занятия, тем больше вероятность восстановления зрительных функций к школьному возрасту.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Большая роль в формировании психических процессов у детей с нарушением зрения принадлежит социальному окружению.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Учитывая все эти особенности можно выделить ряд задач педагогического сопровождения: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-предупреждение возникновения проблем развития ребенка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- оказание помощи ребенку в решении актуальных задач развития, обучения, воспитания социализации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- психологическое обеспечение образовательных программ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- развитие психологической культуры воспитанников, родителей, педагогов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Решить эти задачи возможно только при комплексном подходе всех участников образовательного процесса, включая и мед работника который будет вести диагностику здоровья ребенка и родителей.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Для успешной организации процесса обучения нужно: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- активизация всех видов восприятия ребенком окружающего пространства - зрительного, слухового, тактильного, пространственного, обоняния, вкуса;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- обогащение сенсомоторного опыта детей и совершенствование сенсомоторной координации посредством использования предметов, изготовленных из материалов разной фактуры, формы, цвета, размера.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- Обучить ребенка перцептивным действиям (рассматривание, ощупывание);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- Сформировать представления о сенсорных эталонах;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- Формировать умения самостоятельно применять системы перцептивных действий и сенсорных эталонов в практической деятельности.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При работе с детьми с ослабленным зрением есть многое количество приборов, которые помогут учащимся в образовательном процессе.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4. Предмет и задачи психологии детей с нарушениями функций опорно-двигательного аппарата. Специфика двигательного развития при детском церебральном параличе (ДЦП):</w:t>
      </w:r>
    </w:p>
    <w:p>
      <w:pPr>
        <w:pStyle w:val="Normal"/>
        <w:widowControl/>
        <w:shd w:val="clear" w:color="auto" w:fill="FFFFFF"/>
        <w:ind w:left="120" w:right="45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Предметом изучения</w:t>
      </w:r>
      <w:r>
        <w:rPr>
          <w:rFonts w:ascii="Times New Roman" w:hAnsi="Times New Roman"/>
          <w:sz w:val="28"/>
          <w:szCs w:val="28"/>
        </w:rPr>
        <w:t xml:space="preserve"> данной отрасли специальной психологии являются особенности формирования и развития психики людей с нарушениями опорно-двигательного аппарата.</w:t>
      </w:r>
    </w:p>
    <w:p>
      <w:pPr>
        <w:pStyle w:val="Normal"/>
        <w:widowControl/>
        <w:shd w:val="clear" w:color="auto" w:fill="FFFFFF"/>
        <w:ind w:left="120" w:right="450" w:firstLine="709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Задачи этого направления специальной психологии:</w:t>
      </w:r>
    </w:p>
    <w:p>
      <w:pPr>
        <w:pStyle w:val="Normal"/>
        <w:widowControl/>
        <w:numPr>
          <w:ilvl w:val="0"/>
          <w:numId w:val="1"/>
        </w:numPr>
        <w:shd w:val="clear" w:color="auto" w:fill="FFFFFF"/>
        <w:ind w:left="480" w:right="45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изучить общие закономерности психического развития детей с нормальным и нарушенным двигательным развитием;</w:t>
      </w:r>
    </w:p>
    <w:p>
      <w:pPr>
        <w:pStyle w:val="Normal"/>
        <w:widowControl/>
        <w:numPr>
          <w:ilvl w:val="0"/>
          <w:numId w:val="1"/>
        </w:numPr>
        <w:shd w:val="clear" w:color="auto" w:fill="FFFFFF"/>
        <w:ind w:left="480" w:right="45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изучить специфические </w:t>
      </w:r>
      <w:bookmarkStart w:id="0" w:name="_GoBack1"/>
      <w:bookmarkEnd w:id="0"/>
      <w:r>
        <w:rPr>
          <w:rFonts w:ascii="Times New Roman" w:hAnsi="Times New Roman"/>
          <w:sz w:val="28"/>
          <w:szCs w:val="28"/>
        </w:rPr>
        <w:t>особенности развития психики детей с нарушениями опорно-двигательного аппарата;</w:t>
      </w:r>
    </w:p>
    <w:p>
      <w:pPr>
        <w:pStyle w:val="Normal"/>
        <w:widowControl/>
        <w:shd w:val="clear" w:color="auto" w:fill="FFFFFF"/>
        <w:ind w:left="120" w:right="45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раскрыть компенсаторные возможности, позволяющие преодолеть воздействие нарушений опорно-двигательного аппарата на психическое развитие;</w:t>
      </w:r>
    </w:p>
    <w:p>
      <w:pPr>
        <w:pStyle w:val="Normal"/>
        <w:widowControl/>
        <w:shd w:val="clear" w:color="auto" w:fill="FFFFFF"/>
        <w:ind w:left="120" w:right="45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выявить наиболее эффективные методы коррекционного воздействия на развитие ребенка с нарушениями опорно-двигательного аппарата, дав им психологическое обоснование.</w:t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ind w:firstLine="709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eastAsia="Calibri" w:ascii="Times New Roman" w:hAnsi="Times New Roman"/>
          <w:b/>
          <w:bCs/>
          <w:sz w:val="28"/>
          <w:szCs w:val="28"/>
          <w:lang w:eastAsia="ar-SA"/>
        </w:rPr>
        <w:t>Специфика двигательного развития при детском церебральном параличе (ДЦП):</w:t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ind w:firstLine="709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/>
          <w:sz w:val="28"/>
          <w:szCs w:val="28"/>
          <w:lang w:eastAsia="ar-SA"/>
        </w:rPr>
        <w:t xml:space="preserve">- </w:t>
      </w:r>
      <w:r>
        <w:rPr>
          <w:rFonts w:eastAsia="Calibri" w:ascii="Times New Roman" w:hAnsi="Times New Roman"/>
          <w:bCs/>
          <w:sz w:val="28"/>
          <w:szCs w:val="28"/>
          <w:shd w:fill="FFFFFF" w:val="clear"/>
          <w:lang w:eastAsia="en-US"/>
        </w:rPr>
        <w:t>Понятие</w:t>
      </w:r>
      <w:r>
        <w:rPr>
          <w:rFonts w:eastAsia="Calibri" w:ascii="Times New Roman" w:hAnsi="Times New Roman"/>
          <w:sz w:val="28"/>
          <w:szCs w:val="28"/>
          <w:shd w:fill="FFFFFF" w:val="clear"/>
          <w:lang w:eastAsia="en-US"/>
        </w:rPr>
        <w:t> «</w:t>
      </w:r>
      <w:r>
        <w:rPr>
          <w:rFonts w:eastAsia="Calibri" w:ascii="Times New Roman" w:hAnsi="Times New Roman"/>
          <w:bCs/>
          <w:sz w:val="28"/>
          <w:szCs w:val="28"/>
          <w:shd w:fill="FFFFFF" w:val="clear"/>
          <w:lang w:eastAsia="en-US"/>
        </w:rPr>
        <w:t>нарушение</w:t>
      </w:r>
      <w:r>
        <w:rPr>
          <w:rFonts w:eastAsia="Calibri" w:ascii="Times New Roman" w:hAnsi="Times New Roman"/>
          <w:sz w:val="28"/>
          <w:szCs w:val="28"/>
          <w:shd w:fill="FFFFFF" w:val="clear"/>
          <w:lang w:eastAsia="en-US"/>
        </w:rPr>
        <w:t> </w:t>
      </w:r>
      <w:r>
        <w:rPr>
          <w:rFonts w:eastAsia="Calibri" w:ascii="Times New Roman" w:hAnsi="Times New Roman"/>
          <w:bCs/>
          <w:sz w:val="28"/>
          <w:szCs w:val="28"/>
          <w:shd w:fill="FFFFFF" w:val="clear"/>
          <w:lang w:eastAsia="en-US"/>
        </w:rPr>
        <w:t>функций</w:t>
      </w:r>
      <w:r>
        <w:rPr>
          <w:rFonts w:eastAsia="Calibri" w:ascii="Times New Roman" w:hAnsi="Times New Roman"/>
          <w:sz w:val="28"/>
          <w:szCs w:val="28"/>
          <w:shd w:fill="FFFFFF" w:val="clear"/>
          <w:lang w:eastAsia="en-US"/>
        </w:rPr>
        <w:t> </w:t>
      </w:r>
      <w:r>
        <w:rPr>
          <w:rFonts w:eastAsia="Calibri" w:ascii="Times New Roman" w:hAnsi="Times New Roman"/>
          <w:bCs/>
          <w:sz w:val="28"/>
          <w:szCs w:val="28"/>
          <w:shd w:fill="FFFFFF" w:val="clear"/>
          <w:lang w:eastAsia="en-US"/>
        </w:rPr>
        <w:t>опорно</w:t>
      </w:r>
      <w:r>
        <w:rPr>
          <w:rFonts w:eastAsia="Calibri" w:ascii="Times New Roman" w:hAnsi="Times New Roman"/>
          <w:sz w:val="28"/>
          <w:szCs w:val="28"/>
          <w:shd w:fill="FFFFFF" w:val="clear"/>
          <w:lang w:eastAsia="en-US"/>
        </w:rPr>
        <w:t>-</w:t>
      </w:r>
      <w:r>
        <w:rPr>
          <w:rFonts w:eastAsia="Calibri" w:ascii="Times New Roman" w:hAnsi="Times New Roman"/>
          <w:bCs/>
          <w:sz w:val="28"/>
          <w:szCs w:val="28"/>
          <w:shd w:fill="FFFFFF" w:val="clear"/>
          <w:lang w:eastAsia="en-US"/>
        </w:rPr>
        <w:t>двигательного</w:t>
      </w:r>
      <w:r>
        <w:rPr>
          <w:rFonts w:eastAsia="Calibri" w:ascii="Times New Roman" w:hAnsi="Times New Roman"/>
          <w:sz w:val="28"/>
          <w:szCs w:val="28"/>
          <w:shd w:fill="FFFFFF" w:val="clear"/>
          <w:lang w:eastAsia="en-US"/>
        </w:rPr>
        <w:t> </w:t>
      </w:r>
      <w:r>
        <w:rPr>
          <w:rFonts w:eastAsia="Calibri" w:ascii="Times New Roman" w:hAnsi="Times New Roman"/>
          <w:bCs/>
          <w:sz w:val="28"/>
          <w:szCs w:val="28"/>
          <w:shd w:fill="FFFFFF" w:val="clear"/>
          <w:lang w:eastAsia="en-US"/>
        </w:rPr>
        <w:t>аппарата</w:t>
      </w:r>
      <w:r>
        <w:rPr>
          <w:rFonts w:eastAsia="Calibri" w:ascii="Times New Roman" w:hAnsi="Times New Roman"/>
          <w:sz w:val="28"/>
          <w:szCs w:val="28"/>
          <w:shd w:fill="FFFFFF" w:val="clear"/>
          <w:lang w:eastAsia="en-US"/>
        </w:rPr>
        <w:t>» носит собирательный характер и включает в себя двигательные расстройства, имеющие органическое центральное или периферическое происхождение. Причинами этих расстройств могут быть генетические нарушения, а также органические повреждения головного мозга и травмы </w:t>
      </w:r>
      <w:r>
        <w:rPr>
          <w:rFonts w:eastAsia="Calibri" w:ascii="Times New Roman" w:hAnsi="Times New Roman"/>
          <w:bCs/>
          <w:sz w:val="28"/>
          <w:szCs w:val="28"/>
          <w:shd w:fill="FFFFFF" w:val="clear"/>
          <w:lang w:eastAsia="en-US"/>
        </w:rPr>
        <w:t>опорно</w:t>
      </w:r>
      <w:r>
        <w:rPr>
          <w:rFonts w:eastAsia="Calibri" w:ascii="Times New Roman" w:hAnsi="Times New Roman"/>
          <w:sz w:val="28"/>
          <w:szCs w:val="28"/>
          <w:shd w:fill="FFFFFF" w:val="clear"/>
          <w:lang w:eastAsia="en-US"/>
        </w:rPr>
        <w:t>-</w:t>
      </w:r>
      <w:r>
        <w:rPr>
          <w:rFonts w:eastAsia="Calibri" w:ascii="Times New Roman" w:hAnsi="Times New Roman"/>
          <w:bCs/>
          <w:sz w:val="28"/>
          <w:szCs w:val="28"/>
          <w:shd w:fill="FFFFFF" w:val="clear"/>
          <w:lang w:eastAsia="en-US"/>
        </w:rPr>
        <w:t>двигательного</w:t>
      </w:r>
      <w:r>
        <w:rPr>
          <w:rFonts w:eastAsia="Calibri" w:ascii="Times New Roman" w:hAnsi="Times New Roman"/>
          <w:sz w:val="28"/>
          <w:szCs w:val="28"/>
          <w:shd w:fill="FFFFFF" w:val="clear"/>
          <w:lang w:eastAsia="en-US"/>
        </w:rPr>
        <w:t> </w:t>
      </w:r>
      <w:r>
        <w:rPr>
          <w:rFonts w:eastAsia="Calibri" w:ascii="Times New Roman" w:hAnsi="Times New Roman"/>
          <w:bCs/>
          <w:sz w:val="28"/>
          <w:szCs w:val="28"/>
          <w:shd w:fill="FFFFFF" w:val="clear"/>
          <w:lang w:eastAsia="en-US"/>
        </w:rPr>
        <w:t>аппарата</w:t>
      </w:r>
      <w:r>
        <w:rPr>
          <w:rFonts w:eastAsia="Calibri" w:ascii="Times New Roman" w:hAnsi="Times New Roman"/>
          <w:sz w:val="28"/>
          <w:szCs w:val="28"/>
          <w:shd w:fill="FFFFFF" w:val="clear"/>
          <w:lang w:eastAsia="en-US"/>
        </w:rPr>
        <w:t>. </w:t>
      </w:r>
    </w:p>
    <w:p>
      <w:pPr>
        <w:pStyle w:val="Normal"/>
        <w:widowControl/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 степени тяжести нарушений двигательных функций </w:t>
      </w:r>
      <w:r>
        <w:rPr>
          <w:rFonts w:ascii="Times New Roman" w:hAnsi="Times New Roman"/>
          <w:sz w:val="28"/>
          <w:szCs w:val="28"/>
        </w:rPr>
        <w:t xml:space="preserve">и по сформированности двигательных навыков дети разделяются </w:t>
      </w:r>
      <w:r>
        <w:rPr>
          <w:rFonts w:ascii="Times New Roman" w:hAnsi="Times New Roman"/>
          <w:b/>
          <w:bCs/>
          <w:sz w:val="28"/>
          <w:szCs w:val="28"/>
        </w:rPr>
        <w:t>на три группы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Normal"/>
        <w:widowControl/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 первую группу </w:t>
      </w:r>
      <w:r>
        <w:rPr>
          <w:rFonts w:ascii="Times New Roman" w:hAnsi="Times New Roman"/>
          <w:sz w:val="28"/>
          <w:szCs w:val="28"/>
        </w:rPr>
        <w:t>входят дети с тяжелыми нарушениями. У некоторых из них не сформированы ходьба, захват и удержание предметов, навыки самообслуживания; другие с трудом передвигаются с помощью ортопедических приспособлений, навыки самообслуживания у них сформированы частично.</w:t>
      </w:r>
    </w:p>
    <w:p>
      <w:pPr>
        <w:pStyle w:val="Normal"/>
        <w:widowControl/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Во вторую группу </w:t>
      </w:r>
      <w:r>
        <w:rPr>
          <w:rFonts w:ascii="Times New Roman" w:hAnsi="Times New Roman"/>
          <w:sz w:val="28"/>
          <w:szCs w:val="28"/>
        </w:rPr>
        <w:t>входят дети, имеющие среднюю степень выраженности двигательных нарушений. Большая часть этих детей может самостоятельно передвигаться, хотя и на ограниченное расстояние. Они владеют навыками самообслуживания, которые недостаточно автоматизированы.</w:t>
      </w:r>
    </w:p>
    <w:p>
      <w:pPr>
        <w:pStyle w:val="Normal"/>
        <w:widowControl/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Третью группу </w:t>
      </w:r>
      <w:r>
        <w:rPr>
          <w:rFonts w:ascii="Times New Roman" w:hAnsi="Times New Roman"/>
          <w:sz w:val="28"/>
          <w:szCs w:val="28"/>
        </w:rPr>
        <w:t>составляют дети, имеющие легкие двигательные нарушения, — они передвигаются самостоятельно, владеют навыками самообслуживания, однако некоторые движения выполняют неправильно.</w:t>
      </w:r>
    </w:p>
    <w:p>
      <w:pPr>
        <w:pStyle w:val="Normal"/>
        <w:widowControl/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shd w:fill="FFFFFF" w:val="clear"/>
        </w:rPr>
        <w:t>- Сущность</w:t>
      </w:r>
      <w:r>
        <w:rPr>
          <w:rFonts w:ascii="Times New Roman" w:hAnsi="Times New Roman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bCs/>
          <w:sz w:val="28"/>
          <w:szCs w:val="28"/>
          <w:shd w:fill="FFFFFF" w:val="clear"/>
        </w:rPr>
        <w:t>нарушения</w:t>
      </w:r>
      <w:r>
        <w:rPr>
          <w:rFonts w:ascii="Times New Roman" w:hAnsi="Times New Roman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bCs/>
          <w:sz w:val="28"/>
          <w:szCs w:val="28"/>
          <w:shd w:fill="FFFFFF" w:val="clear"/>
        </w:rPr>
        <w:t>при</w:t>
      </w:r>
      <w:r>
        <w:rPr>
          <w:rFonts w:ascii="Times New Roman" w:hAnsi="Times New Roman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bCs/>
          <w:sz w:val="28"/>
          <w:szCs w:val="28"/>
          <w:shd w:fill="FFFFFF" w:val="clear"/>
        </w:rPr>
        <w:t>детском</w:t>
      </w:r>
      <w:r>
        <w:rPr>
          <w:rFonts w:ascii="Times New Roman" w:hAnsi="Times New Roman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bCs/>
          <w:sz w:val="28"/>
          <w:szCs w:val="28"/>
          <w:shd w:fill="FFFFFF" w:val="clear"/>
        </w:rPr>
        <w:t>церебральном</w:t>
      </w:r>
      <w:r>
        <w:rPr>
          <w:rFonts w:ascii="Times New Roman" w:hAnsi="Times New Roman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bCs/>
          <w:sz w:val="28"/>
          <w:szCs w:val="28"/>
          <w:shd w:fill="FFFFFF" w:val="clear"/>
        </w:rPr>
        <w:t>параличе</w:t>
      </w:r>
      <w:r>
        <w:rPr>
          <w:rFonts w:ascii="Times New Roman" w:hAnsi="Times New Roman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bCs/>
          <w:sz w:val="28"/>
          <w:szCs w:val="28"/>
          <w:shd w:fill="FFFFFF" w:val="clear"/>
        </w:rPr>
        <w:t>ДЦП</w:t>
      </w:r>
      <w:r>
        <w:rPr>
          <w:rFonts w:ascii="Times New Roman" w:hAnsi="Times New Roman"/>
          <w:sz w:val="28"/>
          <w:szCs w:val="28"/>
          <w:shd w:fill="FFFFFF" w:val="clear"/>
        </w:rPr>
        <w:t> — это группа </w:t>
      </w:r>
      <w:r>
        <w:rPr>
          <w:rFonts w:ascii="Times New Roman" w:hAnsi="Times New Roman"/>
          <w:bCs/>
          <w:sz w:val="28"/>
          <w:szCs w:val="28"/>
          <w:shd w:fill="FFFFFF" w:val="clear"/>
        </w:rPr>
        <w:t>двигательных</w:t>
      </w:r>
      <w:r>
        <w:rPr>
          <w:rFonts w:ascii="Times New Roman" w:hAnsi="Times New Roman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bCs/>
          <w:sz w:val="28"/>
          <w:szCs w:val="28"/>
          <w:shd w:fill="FFFFFF" w:val="clear"/>
        </w:rPr>
        <w:t>нарушений</w:t>
      </w:r>
      <w:r>
        <w:rPr>
          <w:rFonts w:ascii="Times New Roman" w:hAnsi="Times New Roman"/>
          <w:sz w:val="28"/>
          <w:szCs w:val="28"/>
          <w:shd w:fill="FFFFFF" w:val="clear"/>
        </w:rPr>
        <w:t>, возникающих при поражении </w:t>
      </w:r>
      <w:r>
        <w:rPr>
          <w:rFonts w:ascii="Times New Roman" w:hAnsi="Times New Roman"/>
          <w:bCs/>
          <w:sz w:val="28"/>
          <w:szCs w:val="28"/>
          <w:shd w:fill="FFFFFF" w:val="clear"/>
        </w:rPr>
        <w:t>двигательных</w:t>
      </w:r>
      <w:r>
        <w:rPr>
          <w:rFonts w:ascii="Times New Roman" w:hAnsi="Times New Roman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bCs/>
          <w:sz w:val="28"/>
          <w:szCs w:val="28"/>
          <w:shd w:fill="FFFFFF" w:val="clear"/>
        </w:rPr>
        <w:t>систем</w:t>
      </w:r>
      <w:r>
        <w:rPr>
          <w:rFonts w:ascii="Times New Roman" w:hAnsi="Times New Roman"/>
          <w:sz w:val="28"/>
          <w:szCs w:val="28"/>
          <w:shd w:fill="FFFFFF" w:val="clear"/>
        </w:rPr>
        <w:t> головного мозга и проявляющихся в недостатке или отсутствии контроля со стороны ЦНС за функционированием мышц.</w:t>
      </w:r>
    </w:p>
    <w:p>
      <w:pPr>
        <w:pStyle w:val="Normal"/>
        <w:widowControl/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- причины ДЦП.</w:t>
      </w:r>
    </w:p>
    <w:p>
      <w:pPr>
        <w:pStyle w:val="Normal"/>
        <w:widowControl/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Церебральный паралич обусловлен аномальным развитием или повреждением развивающегося мозга. Это событие может произойти во время беременности, родов, первого месяца жизни или реже в раннем детстве. Структурные проблемы в головном мозге наблюдаются в 80 % случаев, чаще всего в белом веществе.</w:t>
      </w:r>
      <w:r>
        <w:rPr>
          <w:rFonts w:ascii="Times New Roman" w:hAnsi="Times New Roman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/>
          <w:sz w:val="28"/>
          <w:szCs w:val="28"/>
        </w:rPr>
        <w:t>Считается, что более трёх четвертей случаев связаны с проблемами, возникающими во время беременности.</w:t>
      </w:r>
      <w:r>
        <w:rPr>
          <w:rFonts w:ascii="Times New Roman" w:hAnsi="Times New Roman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/>
          <w:sz w:val="28"/>
          <w:szCs w:val="28"/>
        </w:rPr>
        <w:t>Большинство детей с церебральным параличом имеют более одного фактора риска, связанного с ДЦП.</w:t>
      </w:r>
      <w:r>
        <w:rPr>
          <w:rFonts w:ascii="Times New Roman" w:hAnsi="Times New Roman"/>
          <w:sz w:val="28"/>
          <w:szCs w:val="28"/>
          <w:vertAlign w:val="superscript"/>
        </w:rPr>
        <w:t xml:space="preserve"> </w:t>
      </w:r>
    </w:p>
    <w:p>
      <w:pPr>
        <w:pStyle w:val="Normal"/>
        <w:widowControl/>
        <w:shd w:val="clear" w:color="auto" w:fill="FFFFFF"/>
        <w:ind w:firstLine="709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Факторы риска:</w:t>
      </w:r>
    </w:p>
    <w:p>
      <w:pPr>
        <w:pStyle w:val="Normal"/>
        <w:widowControl/>
        <w:numPr>
          <w:ilvl w:val="0"/>
          <w:numId w:val="2"/>
        </w:numPr>
        <w:shd w:val="clear" w:color="auto" w:fill="FFFFFF"/>
        <w:ind w:left="384" w:firstLine="709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/>
          <w:sz w:val="28"/>
          <w:szCs w:val="28"/>
          <w:lang w:eastAsia="en-US"/>
        </w:rPr>
        <w:t>преждевременные роды;</w:t>
      </w:r>
    </w:p>
    <w:p>
      <w:pPr>
        <w:pStyle w:val="Normal"/>
        <w:widowControl/>
        <w:numPr>
          <w:ilvl w:val="0"/>
          <w:numId w:val="2"/>
        </w:numPr>
        <w:shd w:val="clear" w:color="auto" w:fill="FFFFFF"/>
        <w:ind w:left="384" w:firstLine="709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/>
          <w:sz w:val="28"/>
          <w:szCs w:val="28"/>
          <w:lang w:eastAsia="en-US"/>
        </w:rPr>
        <w:t>наличие близнеца;</w:t>
      </w:r>
    </w:p>
    <w:p>
      <w:pPr>
        <w:pStyle w:val="Normal"/>
        <w:widowControl/>
        <w:numPr>
          <w:ilvl w:val="0"/>
          <w:numId w:val="2"/>
        </w:numPr>
        <w:shd w:val="clear" w:color="auto" w:fill="FFFFFF"/>
        <w:ind w:left="384" w:firstLine="709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/>
          <w:sz w:val="28"/>
          <w:szCs w:val="28"/>
          <w:lang w:eastAsia="en-US"/>
        </w:rPr>
        <w:t>некоторые инфекции во время беременности (токсоплазмоз или краснуха);</w:t>
      </w:r>
    </w:p>
    <w:p>
      <w:pPr>
        <w:pStyle w:val="Normal"/>
        <w:widowControl/>
        <w:numPr>
          <w:ilvl w:val="0"/>
          <w:numId w:val="2"/>
        </w:numPr>
        <w:shd w:val="clear" w:color="auto" w:fill="FFFFFF"/>
        <w:ind w:left="384" w:firstLine="709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/>
          <w:sz w:val="28"/>
          <w:szCs w:val="28"/>
          <w:lang w:eastAsia="en-US"/>
        </w:rPr>
        <w:t>воздействие метилртути во время беременности (образуется в результате метаболизма донных микроорганизмов при выбросе ртути в водоёмы);</w:t>
      </w:r>
    </w:p>
    <w:p>
      <w:pPr>
        <w:pStyle w:val="Normal"/>
        <w:widowControl/>
        <w:numPr>
          <w:ilvl w:val="0"/>
          <w:numId w:val="2"/>
        </w:numPr>
        <w:shd w:val="clear" w:color="auto" w:fill="FFFFFF"/>
        <w:ind w:left="384" w:firstLine="709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/>
          <w:sz w:val="28"/>
          <w:szCs w:val="28"/>
          <w:lang w:eastAsia="en-US"/>
        </w:rPr>
        <w:t>трудные роды;</w:t>
      </w:r>
    </w:p>
    <w:p>
      <w:pPr>
        <w:pStyle w:val="Normal"/>
        <w:widowControl/>
        <w:numPr>
          <w:ilvl w:val="0"/>
          <w:numId w:val="2"/>
        </w:numPr>
        <w:shd w:val="clear" w:color="auto" w:fill="FFFFFF"/>
        <w:ind w:left="384" w:firstLine="709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/>
          <w:sz w:val="28"/>
          <w:szCs w:val="28"/>
          <w:lang w:eastAsia="en-US"/>
        </w:rPr>
        <w:t>травмы головы в течение первых нескольких лет жизни.</w:t>
      </w:r>
    </w:p>
    <w:p>
      <w:pPr>
        <w:pStyle w:val="Normal"/>
        <w:widowControl/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Хотя в некоторых случаях нельзя точно установить причину, типичные причины включают проблемы внутриутробного развития (например, облучение, инфекция, ограничение роста плода), гипоксия головного мозга (тромботические события, состояния плаценты), травма во время родов или в раннем детстве.</w:t>
      </w:r>
    </w:p>
    <w:p>
      <w:pPr>
        <w:pStyle w:val="Normal"/>
        <w:widowControl/>
        <w:shd w:val="clear" w:color="auto" w:fill="FFFFFF"/>
        <w:ind w:firstLine="709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ar-SA"/>
        </w:rPr>
        <w:t xml:space="preserve">Структура двигательного дефекта при  ДЦП.  </w:t>
      </w:r>
    </w:p>
    <w:p>
      <w:pPr>
        <w:pStyle w:val="Normal"/>
        <w:widowControl/>
        <w:ind w:firstLine="709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/>
          <w:sz w:val="28"/>
          <w:szCs w:val="28"/>
          <w:lang w:eastAsia="en-US"/>
        </w:rPr>
        <w:t>Можно выделить общие для всех форм ДЦП нарушения двигательного аппарата:</w:t>
      </w:r>
    </w:p>
    <w:p>
      <w:pPr>
        <w:pStyle w:val="Normal"/>
        <w:widowControl/>
        <w:ind w:firstLine="709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/>
          <w:sz w:val="28"/>
          <w:szCs w:val="28"/>
          <w:lang w:eastAsia="en-US"/>
        </w:rPr>
        <w:t>1. Наличие параличей и парезов. Центральным параличом называется полное отсутствие возможности совершать произвольные движения. Парез – слабая форма паралича, выражающаяся в ограничении возможности совершать произвольные движения. Различают четыре вида церебрального паралича в зависимости от локализации нарушения:</w:t>
      </w:r>
    </w:p>
    <w:p>
      <w:pPr>
        <w:pStyle w:val="Normal"/>
        <w:widowControl/>
        <w:ind w:firstLine="709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/>
          <w:sz w:val="28"/>
          <w:szCs w:val="28"/>
          <w:lang w:eastAsia="en-US"/>
        </w:rPr>
        <w:t>1) тетраплегия – общее поражение всех четырех конечностей;</w:t>
      </w:r>
    </w:p>
    <w:p>
      <w:pPr>
        <w:pStyle w:val="Normal"/>
        <w:widowControl/>
        <w:ind w:firstLine="709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/>
          <w:sz w:val="28"/>
          <w:szCs w:val="28"/>
          <w:lang w:eastAsia="en-US"/>
        </w:rPr>
        <w:t>2) диплегия – поражение либо верхних, либо нижних конечностей;</w:t>
      </w:r>
    </w:p>
    <w:p>
      <w:pPr>
        <w:pStyle w:val="Normal"/>
        <w:widowControl/>
        <w:ind w:firstLine="709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/>
          <w:sz w:val="28"/>
          <w:szCs w:val="28"/>
          <w:lang w:eastAsia="en-US"/>
        </w:rPr>
        <w:t>3) гемиплегия – поражение либо правой, либо левой половины тела;</w:t>
      </w:r>
    </w:p>
    <w:p>
      <w:pPr>
        <w:pStyle w:val="Normal"/>
        <w:widowControl/>
        <w:ind w:firstLine="709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/>
          <w:sz w:val="28"/>
          <w:szCs w:val="28"/>
          <w:lang w:eastAsia="en-US"/>
        </w:rPr>
        <w:t>4) моноплегия – редко встречающееся поражение одной конечности.</w:t>
      </w:r>
    </w:p>
    <w:p>
      <w:pPr>
        <w:pStyle w:val="Normal"/>
        <w:widowControl/>
        <w:ind w:firstLine="709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/>
          <w:sz w:val="28"/>
          <w:szCs w:val="28"/>
          <w:lang w:eastAsia="en-US"/>
        </w:rPr>
        <w:t xml:space="preserve">2. Нарушение мышечного тонуса.   </w:t>
      </w:r>
    </w:p>
    <w:p>
      <w:pPr>
        <w:pStyle w:val="Normal"/>
        <w:widowControl/>
        <w:ind w:firstLine="709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/>
          <w:sz w:val="28"/>
          <w:szCs w:val="28"/>
          <w:lang w:eastAsia="en-US"/>
        </w:rPr>
        <w:t xml:space="preserve">3. Повышение сухожильных и периостальных (надкостничных) рефлексов (гиперрефлексия).  </w:t>
      </w:r>
    </w:p>
    <w:p>
      <w:pPr>
        <w:pStyle w:val="Normal"/>
        <w:widowControl/>
        <w:ind w:firstLine="709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/>
          <w:sz w:val="28"/>
          <w:szCs w:val="28"/>
          <w:lang w:eastAsia="en-US"/>
        </w:rPr>
        <w:t>4. Синкинезии (содружественные движения). Синкинезии – это непроизвольные движения, сопутствующие произвольным.</w:t>
      </w:r>
    </w:p>
    <w:p>
      <w:pPr>
        <w:pStyle w:val="Normal"/>
        <w:widowControl/>
        <w:ind w:firstLine="709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/>
          <w:sz w:val="28"/>
          <w:szCs w:val="28"/>
          <w:lang w:eastAsia="en-US"/>
        </w:rPr>
        <w:t>5. Недостаточное развитие цепных выпрямительных рефлексов. При недоразвитии этих рефлексов ребенку трудно удерживать в нужном положении голову и туловище.</w:t>
      </w:r>
    </w:p>
    <w:p>
      <w:pPr>
        <w:pStyle w:val="Normal"/>
        <w:widowControl/>
        <w:ind w:firstLine="709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/>
          <w:sz w:val="28"/>
          <w:szCs w:val="28"/>
          <w:lang w:eastAsia="en-US"/>
        </w:rPr>
        <w:t>6. Несформированностъ реакций равновесия и координации движений. Нарушения равновесия тела и координации движений проявляются в патологической походке, которая наблюдается при различных формах ДЦП.</w:t>
      </w:r>
    </w:p>
    <w:p>
      <w:pPr>
        <w:pStyle w:val="Normal"/>
        <w:widowControl/>
        <w:ind w:firstLine="709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/>
          <w:sz w:val="28"/>
          <w:szCs w:val="28"/>
          <w:lang w:eastAsia="en-US"/>
        </w:rPr>
        <w:t>7. Нарушение ощущения движений. Развитие двигательных функций тесно связано с ощущением движений. Ощущение движений осуществляется посредством рецепторов, находящихся в мышцах, связках и сухожилиях.</w:t>
      </w:r>
    </w:p>
    <w:p>
      <w:pPr>
        <w:pStyle w:val="Normal"/>
        <w:widowControl/>
        <w:ind w:firstLine="709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/>
          <w:sz w:val="28"/>
          <w:szCs w:val="28"/>
          <w:lang w:eastAsia="en-US"/>
        </w:rPr>
        <w:t>8. Насильственное движение. К насильственным движениям относят также тремор.</w:t>
      </w:r>
    </w:p>
    <w:p>
      <w:pPr>
        <w:pStyle w:val="Normal"/>
        <w:widowControl/>
        <w:ind w:firstLine="709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/>
          <w:sz w:val="28"/>
          <w:szCs w:val="28"/>
          <w:lang w:eastAsia="en-US"/>
        </w:rPr>
        <w:t xml:space="preserve">9. Защитные рефлексы. </w:t>
      </w:r>
    </w:p>
    <w:p>
      <w:pPr>
        <w:pStyle w:val="Normal"/>
        <w:widowControl/>
        <w:ind w:firstLine="709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/>
          <w:sz w:val="28"/>
          <w:szCs w:val="28"/>
          <w:lang w:eastAsia="en-US"/>
        </w:rPr>
        <w:t xml:space="preserve">10. Патологические рефлексы (сгибательные и разгибательные). </w:t>
      </w:r>
    </w:p>
    <w:p>
      <w:pPr>
        <w:pStyle w:val="Normal"/>
        <w:widowControl/>
        <w:ind w:firstLine="709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/>
          <w:sz w:val="28"/>
          <w:szCs w:val="28"/>
          <w:lang w:eastAsia="en-US"/>
        </w:rPr>
        <w:t>11. Позотонические рефлексы. Данные рефлексы относятся к врожденным безусловно рефлекторным двигательным автоматизмам. К позотоническим рефлексам относят лабиринтный тонический рефлекс, асимметричный тонический шейный рефлекс, симметричный тонический шейный рефлекс.</w:t>
      </w:r>
      <w:r>
        <w:rPr>
          <w:rFonts w:eastAsia="Calibri" w:ascii="Times New Roman" w:hAnsi="Times New Roman"/>
          <w:sz w:val="28"/>
          <w:szCs w:val="28"/>
          <w:lang w:eastAsia="ar-SA"/>
        </w:rPr>
        <w:t xml:space="preserve"> Формы детского церебрального паралича</w:t>
      </w:r>
    </w:p>
    <w:p>
      <w:pPr>
        <w:pStyle w:val="Normal"/>
        <w:widowControl/>
        <w:ind w:firstLine="709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/>
          <w:b/>
          <w:bCs/>
          <w:sz w:val="28"/>
          <w:szCs w:val="28"/>
          <w:shd w:fill="FFFFFF" w:val="clear"/>
          <w:lang w:eastAsia="en-US"/>
        </w:rPr>
        <w:t>Детский церебральный паралич (ДЦП)</w:t>
      </w:r>
      <w:r>
        <w:rPr>
          <w:rFonts w:eastAsia="Calibri" w:ascii="Times New Roman" w:hAnsi="Times New Roman"/>
          <w:sz w:val="28"/>
          <w:szCs w:val="28"/>
          <w:shd w:fill="FFFFFF" w:val="clear"/>
          <w:lang w:eastAsia="en-US"/>
        </w:rPr>
        <w:t xml:space="preserve"> — это понятие, объединяющее группу двигательных расстройств, возникающих вследствие повреждения различных мозговых структур в перинатальном периоде. </w:t>
      </w:r>
      <w:r>
        <w:rPr>
          <w:rFonts w:eastAsia="Calibri" w:ascii="Times New Roman" w:hAnsi="Times New Roman"/>
          <w:bCs/>
          <w:sz w:val="28"/>
          <w:szCs w:val="28"/>
          <w:shd w:fill="FFFFFF" w:val="clear"/>
          <w:lang w:eastAsia="en-US"/>
        </w:rPr>
        <w:t>Детский</w:t>
      </w:r>
      <w:r>
        <w:rPr>
          <w:rFonts w:eastAsia="Calibri" w:ascii="Times New Roman" w:hAnsi="Times New Roman"/>
          <w:sz w:val="28"/>
          <w:szCs w:val="28"/>
          <w:shd w:fill="FFFFFF" w:val="clear"/>
          <w:lang w:eastAsia="en-US"/>
        </w:rPr>
        <w:t> </w:t>
      </w:r>
      <w:r>
        <w:rPr>
          <w:rFonts w:eastAsia="Calibri" w:ascii="Times New Roman" w:hAnsi="Times New Roman"/>
          <w:bCs/>
          <w:sz w:val="28"/>
          <w:szCs w:val="28"/>
          <w:shd w:fill="FFFFFF" w:val="clear"/>
          <w:lang w:eastAsia="en-US"/>
        </w:rPr>
        <w:t>церебральный</w:t>
      </w:r>
      <w:r>
        <w:rPr>
          <w:rFonts w:eastAsia="Calibri" w:ascii="Times New Roman" w:hAnsi="Times New Roman"/>
          <w:sz w:val="28"/>
          <w:szCs w:val="28"/>
          <w:shd w:fill="FFFFFF" w:val="clear"/>
          <w:lang w:eastAsia="en-US"/>
        </w:rPr>
        <w:t> </w:t>
      </w:r>
      <w:r>
        <w:rPr>
          <w:rFonts w:eastAsia="Calibri" w:ascii="Times New Roman" w:hAnsi="Times New Roman"/>
          <w:bCs/>
          <w:sz w:val="28"/>
          <w:szCs w:val="28"/>
          <w:shd w:fill="FFFFFF" w:val="clear"/>
          <w:lang w:eastAsia="en-US"/>
        </w:rPr>
        <w:t>паралич</w:t>
      </w:r>
      <w:r>
        <w:rPr>
          <w:rFonts w:eastAsia="Calibri" w:ascii="Times New Roman" w:hAnsi="Times New Roman"/>
          <w:sz w:val="28"/>
          <w:szCs w:val="28"/>
          <w:shd w:fill="FFFFFF" w:val="clear"/>
          <w:lang w:eastAsia="en-US"/>
        </w:rPr>
        <w:t> может включать моно-, геми-, пара-, тетра- </w:t>
      </w:r>
      <w:r>
        <w:rPr>
          <w:rFonts w:eastAsia="Calibri" w:ascii="Times New Roman" w:hAnsi="Times New Roman"/>
          <w:bCs/>
          <w:sz w:val="28"/>
          <w:szCs w:val="28"/>
          <w:shd w:fill="FFFFFF" w:val="clear"/>
          <w:lang w:eastAsia="en-US"/>
        </w:rPr>
        <w:t>параличи</w:t>
      </w:r>
      <w:r>
        <w:rPr>
          <w:rFonts w:eastAsia="Calibri" w:ascii="Times New Roman" w:hAnsi="Times New Roman"/>
          <w:sz w:val="28"/>
          <w:szCs w:val="28"/>
          <w:shd w:fill="FFFFFF" w:val="clear"/>
          <w:lang w:eastAsia="en-US"/>
        </w:rPr>
        <w:t> и парезы, патологические изменения мышечного тонуса, гиперкинезы, нарушения речи, шаткость походки, расстройства координации движений, частые падения, отставание </w:t>
      </w:r>
      <w:r>
        <w:rPr>
          <w:rFonts w:eastAsia="Calibri" w:ascii="Times New Roman" w:hAnsi="Times New Roman"/>
          <w:bCs/>
          <w:sz w:val="28"/>
          <w:szCs w:val="28"/>
          <w:shd w:fill="FFFFFF" w:val="clear"/>
          <w:lang w:eastAsia="en-US"/>
        </w:rPr>
        <w:t>ребенка</w:t>
      </w:r>
      <w:r>
        <w:rPr>
          <w:rFonts w:eastAsia="Calibri" w:ascii="Times New Roman" w:hAnsi="Times New Roman"/>
          <w:sz w:val="28"/>
          <w:szCs w:val="28"/>
          <w:shd w:fill="FFFFFF" w:val="clear"/>
          <w:lang w:eastAsia="en-US"/>
        </w:rPr>
        <w:t> в моторном и психическом развитии.</w:t>
      </w:r>
    </w:p>
    <w:p>
      <w:pPr>
        <w:pStyle w:val="Normal"/>
        <w:widowControl/>
        <w:ind w:firstLine="709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eastAsia="Calibri" w:ascii="Times New Roman" w:hAnsi="Times New Roman"/>
          <w:b/>
          <w:bCs/>
          <w:sz w:val="28"/>
          <w:szCs w:val="28"/>
          <w:lang w:eastAsia="ar-SA"/>
        </w:rPr>
        <w:t>Особенности развития познавательной сферы у дошкольников с ДЦП</w:t>
      </w:r>
    </w:p>
    <w:p>
      <w:pPr>
        <w:pStyle w:val="Normal"/>
        <w:widowControl/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Хронологическое созревание психической деятельности детей с церебральным параличом резко задерживается. Выявляются различные формы нарушения психики и, прежде всего, познавательной сферы. </w:t>
        <w:br/>
      </w:r>
      <w:r>
        <w:rPr>
          <w:rFonts w:ascii="Times New Roman" w:hAnsi="Times New Roman"/>
          <w:i/>
          <w:iCs/>
          <w:sz w:val="28"/>
          <w:szCs w:val="28"/>
        </w:rPr>
        <w:t>Познавательная сфера – </w:t>
      </w:r>
      <w:r>
        <w:rPr>
          <w:rFonts w:ascii="Times New Roman" w:hAnsi="Times New Roman"/>
          <w:sz w:val="28"/>
          <w:szCs w:val="28"/>
        </w:rPr>
        <w:t>совокупность познавательных процессов (память, внимание, мышление, восприятие, воображение, речь), познавательных интересов и различных видов познавательной деятельности (игра, изодеятельность, учение, исследование)</w:t>
      </w:r>
    </w:p>
    <w:p>
      <w:pPr>
        <w:pStyle w:val="Normal"/>
        <w:widowControl/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Структура нарушений </w:t>
      </w:r>
      <w:r>
        <w:rPr>
          <w:rFonts w:ascii="Times New Roman" w:hAnsi="Times New Roman"/>
          <w:bCs/>
          <w:sz w:val="28"/>
          <w:szCs w:val="28"/>
        </w:rPr>
        <w:t>познавательной сферы </w:t>
      </w:r>
      <w:r>
        <w:rPr>
          <w:rFonts w:ascii="Times New Roman" w:hAnsi="Times New Roman"/>
          <w:sz w:val="28"/>
          <w:szCs w:val="28"/>
        </w:rPr>
        <w:t>при ДЦП имеет ряд специфических особенностей, характерных для всех детей. К ним относятся:</w:t>
        <w:br/>
        <w:t>1) неравномерный, дисгармоничный характер нарушений отдельных психических функций. Эта особенность связана с мозаичным характером поражения головного мозга на ранних этапах его развития</w:t>
        <w:br/>
        <w:t>2) повышенная инертность и замедленность всех психических процессов, приводящая к трудностям в переключении с одного вида деятельности на другой, к патологическому застреванию на отдельных фрагментах учебного материала, к «вязкости» мышления;</w:t>
      </w:r>
    </w:p>
    <w:p>
      <w:pPr>
        <w:pStyle w:val="Normal"/>
        <w:widowControl/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выраженность астенических проявлений – повышенная утомляемость, истощаемость всех психических процессов, что также связано с органическим поражением центральной нервной системы. Истощаемость выражается в низкой интеллектуальной работоспособности, нарушениях внимания, восприятия, памяти, мышления, в эмоциональной лабильности. При интеллектуальном перенапряжении появляются вторичные невротические осложнения. Иногда повышенная психическая истощаемость и утомляемость способствует патологическому развитию личности: возникает робость, страхи, пониженный фон настроения</w:t>
      </w:r>
    </w:p>
    <w:p>
      <w:pPr>
        <w:pStyle w:val="Normal"/>
        <w:widowControl/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сниженный запас знаний и представлений об окружающем мире. Дети с церебральным параличом не знают многих явлений окружающего предметного мира и социальной сферы, а чаще всего имеют представления лишь о том, что было в их практике.  </w:t>
        <w:br/>
        <w:t>5) нарушение активного произвольного внимания, которое негативно отражается на функционировании всей познавательной системы ребенка с ДЦП, так как нарушения внимания ведут к нарушениям в восприятии, памяти, мышлении, воображении, речи.</w:t>
      </w:r>
    </w:p>
    <w:p>
      <w:pPr>
        <w:pStyle w:val="Normal"/>
        <w:widowControl/>
        <w:shd w:val="clear" w:color="auto" w:fill="FFFFFF"/>
        <w:ind w:firstLine="709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ar-SA"/>
        </w:rPr>
        <w:t>Особенности деятельности у дошкольников с ДЦП</w:t>
      </w:r>
    </w:p>
    <w:p>
      <w:pPr>
        <w:pStyle w:val="Normal"/>
        <w:widowControl/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детей с ДЦП предметная деятельность, предшествующая игровой, формируется со значительным опозданием. Известно, что действия с предметами формируются по мере совершенствования общей моторики. Так, нормально развивающийся ребенок начинает активно манипулировать предметами, когда уже хорошо держит голову, сидит. По мере совершенствования действий с предметами у него развивается активное осязание, появляется возможность узнавания предметов на ощупь. Все это имеет важное значение для развития познавательной деятельности ребенка. </w:t>
      </w:r>
    </w:p>
    <w:p>
      <w:pPr>
        <w:pStyle w:val="Normal"/>
        <w:widowControl/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детей с ДЦП предметные действия затруднены вследствие сложной структуры двигательного дефекта. Это приводит к задержке формирования целостного представления о предмете, к недостаточному запасу знаний и представлений об окружающем мире. Для развития предметной деятельности важное значение имеет сфор-мированность зрительно-моторной координации.</w:t>
      </w:r>
    </w:p>
    <w:p>
      <w:pPr>
        <w:pStyle w:val="Normal"/>
        <w:widowControl/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Дети с ДЦП часто не могут следить глазами за движениями и действиями рук, что препятствует формированию предметной деятельности. Эти и некоторые другие особенности формирования предметной деятельности негативно сказываются на развитии игры.</w:t>
      </w:r>
    </w:p>
    <w:p>
      <w:pPr>
        <w:pStyle w:val="Normal"/>
        <w:widowControl/>
        <w:spacing w:lineRule="auto" w:line="276" w:before="0" w:after="0"/>
        <w:ind w:firstLine="709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eastAsia="Calibri" w:cs="Times New Roman" w:ascii="Times New Roman" w:hAnsi="Times New Roman"/>
          <w:b w:val="false"/>
          <w:bCs w:val="false"/>
          <w:sz w:val="28"/>
          <w:szCs w:val="28"/>
          <w:lang w:eastAsia="en-US"/>
        </w:rPr>
        <w:t>Игровая деятельность дошкольников с ДЦП 4 — 5 лет (1-й год обучения) на момент их поступления в дошкольное учреждение носит процессуальный, подражательный характер, замысел игры отсутствует, набор операций ограничен, отмечается бедность средств выразительности, скупость или отсутствие речевого сопровождения игровых действий.</w:t>
      </w:r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480" w:hanging="360"/>
      </w:pPr>
    </w:lvl>
    <w:lvl w:ilvl="1">
      <w:start w:val="1"/>
      <w:numFmt w:val="lowerLetter"/>
      <w:lvlText w:val="%2."/>
      <w:lvlJc w:val="left"/>
      <w:pPr>
        <w:ind w:left="1200" w:hanging="360"/>
      </w:pPr>
    </w:lvl>
    <w:lvl w:ilvl="2">
      <w:start w:val="1"/>
      <w:numFmt w:val="lowerRoman"/>
      <w:lvlText w:val="%3."/>
      <w:lvlJc w:val="right"/>
      <w:pPr>
        <w:ind w:left="1920" w:hanging="180"/>
      </w:pPr>
    </w:lvl>
    <w:lvl w:ilvl="3">
      <w:start w:val="1"/>
      <w:numFmt w:val="decimal"/>
      <w:lvlText w:val="%4."/>
      <w:lvlJc w:val="left"/>
      <w:pPr>
        <w:ind w:left="2640" w:hanging="360"/>
      </w:pPr>
    </w:lvl>
    <w:lvl w:ilvl="4">
      <w:start w:val="1"/>
      <w:numFmt w:val="lowerLetter"/>
      <w:lvlText w:val="%5."/>
      <w:lvlJc w:val="left"/>
      <w:pPr>
        <w:ind w:left="3360" w:hanging="360"/>
      </w:pPr>
    </w:lvl>
    <w:lvl w:ilvl="5">
      <w:start w:val="1"/>
      <w:numFmt w:val="lowerRoman"/>
      <w:lvlText w:val="%6."/>
      <w:lvlJc w:val="right"/>
      <w:pPr>
        <w:ind w:left="4080" w:hanging="180"/>
      </w:pPr>
    </w:lvl>
    <w:lvl w:ilvl="6">
      <w:start w:val="1"/>
      <w:numFmt w:val="decimal"/>
      <w:lvlText w:val="%7."/>
      <w:lvlJc w:val="left"/>
      <w:pPr>
        <w:ind w:left="4800" w:hanging="360"/>
      </w:pPr>
    </w:lvl>
    <w:lvl w:ilvl="7">
      <w:start w:val="1"/>
      <w:numFmt w:val="lowerLetter"/>
      <w:lvlText w:val="%8."/>
      <w:lvlJc w:val="left"/>
      <w:pPr>
        <w:ind w:left="5520" w:hanging="360"/>
      </w:pPr>
    </w:lvl>
    <w:lvl w:ilvl="8">
      <w:start w:val="1"/>
      <w:numFmt w:val="lowerRoman"/>
      <w:lvlText w:val="%9."/>
      <w:lvlJc w:val="right"/>
      <w:pPr>
        <w:ind w:left="6240" w:hanging="18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rFonts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233dc"/>
    <w:pPr>
      <w:widowControl/>
      <w:bidi w:val="0"/>
      <w:spacing w:lineRule="auto" w:line="254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rFonts w:cs="Times New Roman"/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233d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5233dc"/>
    <w:pPr>
      <w:spacing w:lineRule="auto" w:line="240" w:before="0" w:after="0"/>
      <w:ind w:left="720" w:hanging="0"/>
      <w:contextualSpacing/>
    </w:pPr>
    <w:rPr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Neat_Office/6.2.8.2$Windows_x86 LibreOffice_project/</Application>
  <Pages>12</Pages>
  <Words>3098</Words>
  <Characters>22952</Characters>
  <CharactersWithSpaces>25956</CharactersWithSpaces>
  <Paragraphs>128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2020-12-29T19:45:00Z</dcterms:created>
  <dc:creator>Дмитрий Каленюк</dc:creator>
  <dc:description/>
  <dc:language>ru-RU</dc:language>
  <cp:lastModifiedBy/>
  <dcterms:modified xsi:type="dcterms:W3CDTF">2021-01-13T16:56:38Z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