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F5C" w:rsidRPr="005A060B" w:rsidRDefault="005A060B" w:rsidP="005A060B">
      <w:pPr>
        <w:pStyle w:val="ConsPlusNormal"/>
        <w:ind w:firstLine="709"/>
        <w:jc w:val="center"/>
        <w:outlineLvl w:val="2"/>
        <w:rPr>
          <w:b/>
          <w:sz w:val="28"/>
          <w:szCs w:val="28"/>
        </w:rPr>
      </w:pPr>
      <w:r w:rsidRPr="005A060B">
        <w:rPr>
          <w:b/>
          <w:sz w:val="28"/>
          <w:szCs w:val="28"/>
        </w:rPr>
        <w:t>Тема "</w:t>
      </w:r>
      <w:r w:rsidR="00137F5C" w:rsidRPr="005A060B">
        <w:rPr>
          <w:b/>
          <w:sz w:val="28"/>
          <w:szCs w:val="28"/>
        </w:rPr>
        <w:t>Диагностика платежеспособности организации</w:t>
      </w:r>
      <w:r w:rsidRPr="005A060B">
        <w:rPr>
          <w:b/>
          <w:sz w:val="28"/>
          <w:szCs w:val="28"/>
        </w:rPr>
        <w:t>"</w:t>
      </w:r>
    </w:p>
    <w:p w:rsidR="005A060B" w:rsidRPr="005A060B" w:rsidRDefault="005A060B" w:rsidP="005A060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A060B">
        <w:rPr>
          <w:rFonts w:ascii="Times New Roman" w:hAnsi="Times New Roman" w:cs="Times New Roman"/>
          <w:bCs/>
          <w:sz w:val="28"/>
          <w:szCs w:val="28"/>
        </w:rPr>
        <w:t>1. Баланс платежеспособности</w:t>
      </w:r>
    </w:p>
    <w:p w:rsidR="005A060B" w:rsidRPr="005A060B" w:rsidRDefault="005A060B" w:rsidP="005A060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A060B">
        <w:rPr>
          <w:rFonts w:ascii="Times New Roman" w:hAnsi="Times New Roman" w:cs="Times New Roman"/>
          <w:bCs/>
          <w:sz w:val="28"/>
          <w:szCs w:val="28"/>
        </w:rPr>
        <w:t>2. Расчет и оценка финансовых коэффициентов платежеспособности</w:t>
      </w:r>
      <w:r w:rsidRPr="005A06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</w:p>
    <w:p w:rsidR="005A060B" w:rsidRPr="005A060B" w:rsidRDefault="005A060B" w:rsidP="005A060B">
      <w:pPr>
        <w:pStyle w:val="ConsPlusNormal"/>
        <w:ind w:firstLine="709"/>
        <w:jc w:val="center"/>
        <w:rPr>
          <w:b/>
          <w:bCs/>
          <w:sz w:val="28"/>
          <w:szCs w:val="28"/>
        </w:rPr>
      </w:pPr>
      <w:r w:rsidRPr="005A060B">
        <w:rPr>
          <w:b/>
          <w:bCs/>
          <w:sz w:val="28"/>
          <w:szCs w:val="28"/>
        </w:rPr>
        <w:t xml:space="preserve">1. </w:t>
      </w:r>
      <w:r w:rsidR="00137F5C" w:rsidRPr="005A060B">
        <w:rPr>
          <w:b/>
          <w:bCs/>
          <w:sz w:val="28"/>
          <w:szCs w:val="28"/>
        </w:rPr>
        <w:t>Баланс платежеспособности</w:t>
      </w:r>
    </w:p>
    <w:p w:rsidR="005A060B" w:rsidRPr="005A060B" w:rsidRDefault="005A060B" w:rsidP="005A060B">
      <w:pPr>
        <w:pStyle w:val="ConsPlusNormal"/>
        <w:ind w:firstLine="709"/>
        <w:jc w:val="both"/>
        <w:rPr>
          <w:b/>
          <w:bCs/>
          <w:sz w:val="28"/>
          <w:szCs w:val="28"/>
        </w:rPr>
      </w:pP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В рамках внутреннего анализа осуществляется углубленное исследование финансовой устойчивости и ликвидности организации на основе построения баланса платежеспособности (неплатежеспособности), включающего следующие взаимосвязанные показатели: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bookmarkStart w:id="0" w:name="Par6111"/>
      <w:bookmarkEnd w:id="0"/>
      <w:r w:rsidRPr="005A060B">
        <w:rPr>
          <w:sz w:val="28"/>
          <w:szCs w:val="28"/>
        </w:rPr>
        <w:t>1) общую величину неплатежей: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просроченную задолженность по ссудам банков;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просроченную задолженность по расчетным документам поставщиков;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недоимки в бюджеты и во внебюджетные фонды;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прочие неплатежи, в том числе по оплате труда;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bookmarkStart w:id="1" w:name="Par6116"/>
      <w:bookmarkEnd w:id="1"/>
      <w:r w:rsidRPr="005A060B">
        <w:rPr>
          <w:sz w:val="28"/>
          <w:szCs w:val="28"/>
        </w:rPr>
        <w:t>2) причины неплатежей: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недостаток собственных оборотных средств;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сверхплановые запасы товарно-материальных ценностей;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товары отгруженные, но не оплаченные в срок покупателями;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товары на ответственном хранении у покупателей ввиду отказа от акцепта;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иммобилизацию оборотных средств в капитальное строительство, в задолженность работников по полученным ими ссудам, а также в расходы, не перекрытые средствами специальных фондов и целевого финансирования;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bookmarkStart w:id="2" w:name="Par6122"/>
      <w:bookmarkEnd w:id="2"/>
      <w:r w:rsidRPr="005A060B">
        <w:rPr>
          <w:sz w:val="28"/>
          <w:szCs w:val="28"/>
        </w:rPr>
        <w:t>3) источники, ослабляющие финансовую напряженность: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временно свободные собственные средства (доходы будущих периодов, резервы предстоящих расходов и др.);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кредиты банка на временное пополнение оборотных средств и прочие заемные средства.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При полном учете общей величины неплатежей и источников, ослабляющих финансовую напряженность, итог по </w:t>
      </w:r>
      <w:hyperlink w:anchor="Par6116" w:tooltip="2) причины неплатежей:" w:history="1">
        <w:r w:rsidRPr="005A060B">
          <w:rPr>
            <w:sz w:val="28"/>
            <w:szCs w:val="28"/>
          </w:rPr>
          <w:t>группе 2</w:t>
        </w:r>
      </w:hyperlink>
      <w:r w:rsidRPr="005A060B">
        <w:rPr>
          <w:sz w:val="28"/>
          <w:szCs w:val="28"/>
        </w:rPr>
        <w:t xml:space="preserve"> должен равняться сумме итогов по </w:t>
      </w:r>
      <w:hyperlink w:anchor="Par6111" w:tooltip="1) общую величину неплатежей:" w:history="1">
        <w:r w:rsidRPr="005A060B">
          <w:rPr>
            <w:sz w:val="28"/>
            <w:szCs w:val="28"/>
          </w:rPr>
          <w:t>группам 1</w:t>
        </w:r>
      </w:hyperlink>
      <w:r w:rsidRPr="005A060B">
        <w:rPr>
          <w:sz w:val="28"/>
          <w:szCs w:val="28"/>
        </w:rPr>
        <w:t xml:space="preserve"> и </w:t>
      </w:r>
      <w:hyperlink w:anchor="Par6122" w:tooltip="3) источники, ослабляющие финансовую напряженность:" w:history="1">
        <w:r w:rsidRPr="005A060B">
          <w:rPr>
            <w:sz w:val="28"/>
            <w:szCs w:val="28"/>
          </w:rPr>
          <w:t>3</w:t>
        </w:r>
      </w:hyperlink>
      <w:r w:rsidRPr="005A060B">
        <w:rPr>
          <w:sz w:val="28"/>
          <w:szCs w:val="28"/>
        </w:rPr>
        <w:t>. Для анализа финансового состояния, платежной дисциплины и кредитных отношений рекомендуется рассматривать данные показатели в динамике (например, поквартально).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Наряду с источниками формирования запасов большое значение для финансового состояния имеет оборачиваемость всего оборотного капитала (активов), особенно оборотных товарно-материальных ценностей, что выражается в относительном (против оборота) снижении запасов.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Углубленный анализ состояния запасов - составная часть внутреннего анализа финансового состояния, поскольку предполагает использование информации о запасах, не содержащейся в бухгалтерской отчетности и в известной мере относящейся к области коммерческой тайны.</w:t>
      </w:r>
    </w:p>
    <w:p w:rsidR="005A060B" w:rsidRDefault="005A060B" w:rsidP="005A060B">
      <w:pPr>
        <w:pStyle w:val="ConsPlusNormal"/>
        <w:ind w:firstLine="709"/>
        <w:jc w:val="both"/>
        <w:rPr>
          <w:b/>
          <w:bCs/>
          <w:sz w:val="28"/>
          <w:szCs w:val="28"/>
        </w:rPr>
      </w:pPr>
    </w:p>
    <w:p w:rsidR="005A060B" w:rsidRDefault="005A060B" w:rsidP="005A060B">
      <w:pPr>
        <w:pStyle w:val="ConsPlusNormal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 </w:t>
      </w:r>
      <w:r w:rsidR="00137F5C" w:rsidRPr="005A060B">
        <w:rPr>
          <w:b/>
          <w:bCs/>
          <w:sz w:val="28"/>
          <w:szCs w:val="28"/>
        </w:rPr>
        <w:t>Расчет и оценка финансовых коэффициентов платежеспособности</w:t>
      </w:r>
    </w:p>
    <w:p w:rsidR="005A060B" w:rsidRDefault="005A060B" w:rsidP="005A060B">
      <w:pPr>
        <w:pStyle w:val="ConsPlusNormal"/>
        <w:ind w:firstLine="709"/>
        <w:jc w:val="both"/>
        <w:rPr>
          <w:sz w:val="28"/>
          <w:szCs w:val="28"/>
        </w:rPr>
      </w:pP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Общая платежеспособность организации определяется как способность покрыть все обязательства организации (краткосрочные и долгосрочные) всеми ее активами. </w:t>
      </w:r>
      <w:r w:rsidRPr="005A060B">
        <w:rPr>
          <w:b/>
          <w:bCs/>
          <w:sz w:val="28"/>
          <w:szCs w:val="28"/>
        </w:rPr>
        <w:t>Коэффициент общей платежеспособности</w:t>
      </w:r>
      <w:r w:rsidRPr="005A060B">
        <w:rPr>
          <w:sz w:val="28"/>
          <w:szCs w:val="28"/>
        </w:rPr>
        <w:t xml:space="preserve"> (</w:t>
      </w:r>
      <w:proofErr w:type="spellStart"/>
      <w:r w:rsidRPr="005A060B">
        <w:rPr>
          <w:sz w:val="28"/>
          <w:szCs w:val="28"/>
        </w:rPr>
        <w:t>K</w:t>
      </w:r>
      <w:r w:rsidRPr="005A060B">
        <w:rPr>
          <w:sz w:val="28"/>
          <w:szCs w:val="28"/>
          <w:vertAlign w:val="superscript"/>
        </w:rPr>
        <w:t>оп</w:t>
      </w:r>
      <w:proofErr w:type="spellEnd"/>
      <w:r w:rsidRPr="005A060B">
        <w:rPr>
          <w:sz w:val="28"/>
          <w:szCs w:val="28"/>
        </w:rPr>
        <w:t xml:space="preserve">) - показатель обеспеченности обязательств должника его активами - характеризует величину активов должника, приходящихся на единицу долга, и определяется как отношение суммы ликвидных и скорректированных </w:t>
      </w:r>
      <w:proofErr w:type="spellStart"/>
      <w:r w:rsidRPr="005A060B">
        <w:rPr>
          <w:sz w:val="28"/>
          <w:szCs w:val="28"/>
        </w:rPr>
        <w:t>внеоборотных</w:t>
      </w:r>
      <w:proofErr w:type="spellEnd"/>
      <w:r w:rsidRPr="005A060B">
        <w:rPr>
          <w:sz w:val="28"/>
          <w:szCs w:val="28"/>
        </w:rPr>
        <w:t xml:space="preserve"> активов к обязательствам предприятия.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При расчете коэффициента общей платежеспособности ликвидные активы предприятия берутся за вычетом задолженности участников (учредителей) по взносам в уставный капитал, а также оценочных резервов по сомнительным долгам и под обесценение ценных бумаг, если они создавались. Скорректированные </w:t>
      </w:r>
      <w:proofErr w:type="spellStart"/>
      <w:r w:rsidRPr="005A060B">
        <w:rPr>
          <w:sz w:val="28"/>
          <w:szCs w:val="28"/>
        </w:rPr>
        <w:t>внеоборотные</w:t>
      </w:r>
      <w:proofErr w:type="spellEnd"/>
      <w:r w:rsidRPr="005A060B">
        <w:rPr>
          <w:sz w:val="28"/>
          <w:szCs w:val="28"/>
        </w:rPr>
        <w:t xml:space="preserve"> активы - сумма стоимости нематериальных активов (без деловой репутации и организационных расходов); основных средств (без капитальных затрат на арендуемые основные средства); незавершенных капитальных вложений (без незавершенных капитальных затрат на арендуемые основные средства); доходных вложений в материальные ценности, долгосрочных финансовых вложений, прочих </w:t>
      </w:r>
      <w:proofErr w:type="spellStart"/>
      <w:r w:rsidRPr="005A060B">
        <w:rPr>
          <w:sz w:val="28"/>
          <w:szCs w:val="28"/>
        </w:rPr>
        <w:t>внеоборотных</w:t>
      </w:r>
      <w:proofErr w:type="spellEnd"/>
      <w:r w:rsidRPr="005A060B">
        <w:rPr>
          <w:sz w:val="28"/>
          <w:szCs w:val="28"/>
        </w:rPr>
        <w:t xml:space="preserve"> активов. Обязательства предприятия в знаменателе коэффициента общей платежеспособности не включают суммы доходов будущих периодов, отражаемые в </w:t>
      </w:r>
      <w:hyperlink r:id="rId4" w:history="1">
        <w:r w:rsidRPr="005A060B">
          <w:rPr>
            <w:sz w:val="28"/>
            <w:szCs w:val="28"/>
          </w:rPr>
          <w:t>разделе V</w:t>
        </w:r>
      </w:hyperlink>
      <w:r w:rsidRPr="005A060B">
        <w:rPr>
          <w:sz w:val="28"/>
          <w:szCs w:val="28"/>
        </w:rPr>
        <w:t xml:space="preserve"> баланса.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Естественным является следующее нормальное ограничение для коэффициента общей платежеспособности </w:t>
      </w:r>
      <w:proofErr w:type="spellStart"/>
      <w:r w:rsidRPr="005A060B">
        <w:rPr>
          <w:sz w:val="28"/>
          <w:szCs w:val="28"/>
        </w:rPr>
        <w:t>K</w:t>
      </w:r>
      <w:r w:rsidRPr="005A060B">
        <w:rPr>
          <w:sz w:val="28"/>
          <w:szCs w:val="28"/>
          <w:vertAlign w:val="superscript"/>
        </w:rPr>
        <w:t>оп</w:t>
      </w:r>
      <w:proofErr w:type="spellEnd"/>
      <w:r w:rsidRPr="005A060B">
        <w:rPr>
          <w:sz w:val="28"/>
          <w:szCs w:val="28"/>
        </w:rPr>
        <w:t xml:space="preserve"> &gt;= 2 (вытекающее из ограничения коэффициента соотношения заемного и собственного капитала </w:t>
      </w:r>
      <w:proofErr w:type="spellStart"/>
      <w:r w:rsidRPr="005A060B">
        <w:rPr>
          <w:sz w:val="28"/>
          <w:szCs w:val="28"/>
        </w:rPr>
        <w:t>K</w:t>
      </w:r>
      <w:r w:rsidRPr="005A060B">
        <w:rPr>
          <w:sz w:val="28"/>
          <w:szCs w:val="28"/>
          <w:vertAlign w:val="superscript"/>
        </w:rPr>
        <w:t>з</w:t>
      </w:r>
      <w:proofErr w:type="spellEnd"/>
      <w:r w:rsidRPr="005A060B">
        <w:rPr>
          <w:sz w:val="28"/>
          <w:szCs w:val="28"/>
          <w:vertAlign w:val="superscript"/>
        </w:rPr>
        <w:t>/с</w:t>
      </w:r>
      <w:r w:rsidRPr="005A060B">
        <w:rPr>
          <w:sz w:val="28"/>
          <w:szCs w:val="28"/>
        </w:rPr>
        <w:t xml:space="preserve"> &lt;= 1).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Основным фактором, обусловливающим общую платежеспособность, является наличие у предприятия собственного капитала, превышающего величину обязательств.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Коэффициент платежеспособности за период</w:t>
      </w:r>
      <w:r w:rsidRPr="005A060B">
        <w:rPr>
          <w:sz w:val="28"/>
          <w:szCs w:val="28"/>
        </w:rPr>
        <w:t xml:space="preserve"> характеризуется дробью, в числителе которой - сумма остатков денежных средств на начало периода и поступления денег за период, а в знаменателе - величина расхода денег за период. Этот коэффициент рассчитывается как прогнозный по смете движения денежных средств (за год, квартал и месяц) и также фактически по </w:t>
      </w:r>
      <w:hyperlink r:id="rId5" w:history="1">
        <w:r w:rsidRPr="005A060B">
          <w:rPr>
            <w:sz w:val="28"/>
            <w:szCs w:val="28"/>
          </w:rPr>
          <w:t>форме N 4</w:t>
        </w:r>
      </w:hyperlink>
      <w:r w:rsidRPr="005A060B">
        <w:rPr>
          <w:sz w:val="28"/>
          <w:szCs w:val="28"/>
        </w:rPr>
        <w:t xml:space="preserve"> бухгалтерской отчетности "Отчет о движении денежных средств" за год и любой другой период по бухгалтерским данным.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Степень платежеспособности по текущим обязательствам</w:t>
      </w:r>
      <w:r w:rsidRPr="005A060B">
        <w:rPr>
          <w:sz w:val="28"/>
          <w:szCs w:val="28"/>
        </w:rPr>
        <w:t xml:space="preserve"> - главный критерий платежеспособности, установленный </w:t>
      </w:r>
      <w:hyperlink r:id="rId6" w:history="1">
        <w:r w:rsidRPr="005A060B">
          <w:rPr>
            <w:sz w:val="28"/>
            <w:szCs w:val="28"/>
          </w:rPr>
          <w:t>Распоряжением</w:t>
        </w:r>
      </w:hyperlink>
      <w:r w:rsidRPr="005A060B">
        <w:rPr>
          <w:sz w:val="28"/>
          <w:szCs w:val="28"/>
        </w:rPr>
        <w:t xml:space="preserve"> Федеральной службы России по финансовому оздоровлению и банкротству "О мониторинге финансового состояния организаций и учете их платежеспособности".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Этот показатель определяется как отношение текущих заемных средств организации (краткосрочных обязательств - </w:t>
      </w:r>
      <w:hyperlink r:id="rId7" w:history="1">
        <w:r w:rsidRPr="005A060B">
          <w:rPr>
            <w:sz w:val="28"/>
            <w:szCs w:val="28"/>
          </w:rPr>
          <w:t>стр. 1500</w:t>
        </w:r>
      </w:hyperlink>
      <w:r w:rsidRPr="005A060B">
        <w:rPr>
          <w:sz w:val="28"/>
          <w:szCs w:val="28"/>
        </w:rPr>
        <w:t xml:space="preserve"> формы N 1) к среднемесячной выручке. Последняя вычисляется по валовой выручке, </w:t>
      </w:r>
      <w:r w:rsidRPr="005A060B">
        <w:rPr>
          <w:sz w:val="28"/>
          <w:szCs w:val="28"/>
        </w:rPr>
        <w:lastRenderedPageBreak/>
        <w:t>включающей выручку от продаж за отчетный период (по оплате), НДС, акцизы и другие обязательные платежи, деленной на количество месяцев в отчетном периоде.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В зависимости от значения показателя степени платежеспособности по текущим обязательствам, рассчитанного на основе данных за последний отчетный период, организации выделяют три группы: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1) платежеспособные организации, у которых значение указанного показателя не превышает трех месяцев;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2) неплатежеспособные организации первой категории, у которых значение показателя составляет от трех до 12 месяцев;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3) неплатежеспособные организации второй категории, у которых значение этого показателя превышает 12 месяцев.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Степень платежеспособности общая</w:t>
      </w:r>
      <w:r w:rsidRPr="005A060B">
        <w:rPr>
          <w:sz w:val="28"/>
          <w:szCs w:val="28"/>
        </w:rPr>
        <w:t xml:space="preserve"> определяется как частное от деления суммы заемных средств (обязательств) организации на среднемесячную валовую выручку от продаж:</w:t>
      </w:r>
    </w:p>
    <w:p w:rsidR="00137F5C" w:rsidRPr="005A060B" w:rsidRDefault="00137F5C" w:rsidP="005A060B">
      <w:pPr>
        <w:pStyle w:val="ConsPlusNormal"/>
        <w:jc w:val="both"/>
      </w:pPr>
    </w:p>
    <w:p w:rsidR="00137F5C" w:rsidRPr="005A060B" w:rsidRDefault="00137F5C" w:rsidP="005A060B">
      <w:pPr>
        <w:pStyle w:val="ConsPlusNonformat"/>
        <w:jc w:val="both"/>
        <w:rPr>
          <w:rFonts w:ascii="Times New Roman" w:hAnsi="Times New Roman" w:cs="Times New Roman"/>
        </w:rPr>
      </w:pPr>
      <w:r w:rsidRPr="005A060B">
        <w:rPr>
          <w:rFonts w:ascii="Times New Roman" w:hAnsi="Times New Roman" w:cs="Times New Roman"/>
        </w:rPr>
        <w:t xml:space="preserve">    </w:t>
      </w:r>
      <w:hyperlink r:id="rId8" w:history="1">
        <w:r w:rsidRPr="005A060B">
          <w:rPr>
            <w:rFonts w:ascii="Times New Roman" w:hAnsi="Times New Roman" w:cs="Times New Roman"/>
          </w:rPr>
          <w:t>Стр. 1400</w:t>
        </w:r>
      </w:hyperlink>
      <w:r w:rsidRPr="005A060B">
        <w:rPr>
          <w:rFonts w:ascii="Times New Roman" w:hAnsi="Times New Roman" w:cs="Times New Roman"/>
        </w:rPr>
        <w:t xml:space="preserve"> + </w:t>
      </w:r>
      <w:hyperlink r:id="rId9" w:history="1">
        <w:r w:rsidRPr="005A060B">
          <w:rPr>
            <w:rFonts w:ascii="Times New Roman" w:hAnsi="Times New Roman" w:cs="Times New Roman"/>
          </w:rPr>
          <w:t>стр. 1500</w:t>
        </w:r>
      </w:hyperlink>
      <w:r w:rsidRPr="005A060B">
        <w:rPr>
          <w:rFonts w:ascii="Times New Roman" w:hAnsi="Times New Roman" w:cs="Times New Roman"/>
        </w:rPr>
        <w:t xml:space="preserve"> формы N 1</w:t>
      </w:r>
    </w:p>
    <w:p w:rsidR="00137F5C" w:rsidRPr="005A060B" w:rsidRDefault="00137F5C" w:rsidP="005A060B">
      <w:pPr>
        <w:pStyle w:val="ConsPlusNonformat"/>
        <w:jc w:val="both"/>
        <w:rPr>
          <w:rFonts w:ascii="Times New Roman" w:hAnsi="Times New Roman" w:cs="Times New Roman"/>
        </w:rPr>
      </w:pPr>
      <w:r w:rsidRPr="005A060B">
        <w:rPr>
          <w:rFonts w:ascii="Times New Roman" w:hAnsi="Times New Roman" w:cs="Times New Roman"/>
        </w:rPr>
        <w:t xml:space="preserve">    -------------------------------.</w:t>
      </w:r>
    </w:p>
    <w:p w:rsidR="00137F5C" w:rsidRPr="005A060B" w:rsidRDefault="00137F5C" w:rsidP="005A060B">
      <w:pPr>
        <w:pStyle w:val="ConsPlusNonformat"/>
        <w:jc w:val="both"/>
        <w:rPr>
          <w:rFonts w:ascii="Times New Roman" w:hAnsi="Times New Roman" w:cs="Times New Roman"/>
        </w:rPr>
      </w:pPr>
      <w:r w:rsidRPr="005A060B">
        <w:rPr>
          <w:rFonts w:ascii="Times New Roman" w:hAnsi="Times New Roman" w:cs="Times New Roman"/>
        </w:rPr>
        <w:t xml:space="preserve">     Среднемесячная валовая выручка</w:t>
      </w:r>
    </w:p>
    <w:p w:rsidR="00137F5C" w:rsidRPr="005A060B" w:rsidRDefault="00137F5C" w:rsidP="005A060B">
      <w:pPr>
        <w:pStyle w:val="ConsPlusNormal"/>
        <w:jc w:val="both"/>
      </w:pP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Этот показатель характеризует общую ситуацию - платежеспособность организации, объемы ее заемных средств и сроки возможного погашения задолженности организации перед ее кредиторами.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Структура долгов и способы кредитования организации характеризуются распределением показателя "Степень платежеспособности общая" на коэффициенты задолженности по кредитам банков и займам другим организациям, фискальной системе, внутреннему долгу. Перекос структуры долгов в сторону товарных кредитов, полученных от других организаций, скрытого кредитования за счет неплатежей фискальной системе государства и задолженности по внутренним выплатам отрицательно характеризует хозяйственную деятельность организации.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Коэффициент задолженности по кредитам банков и займам</w:t>
      </w:r>
      <w:r w:rsidRPr="005A060B">
        <w:rPr>
          <w:sz w:val="28"/>
          <w:szCs w:val="28"/>
        </w:rPr>
        <w:t xml:space="preserve"> вычисляется как частное от деления суммы долгосрочных пассивов и краткосрочных кредитов банков и займов на среднемесячную валовую выручку:</w:t>
      </w:r>
    </w:p>
    <w:p w:rsidR="00137F5C" w:rsidRPr="005A060B" w:rsidRDefault="00137F5C" w:rsidP="005A060B">
      <w:pPr>
        <w:pStyle w:val="ConsPlusNormal"/>
        <w:jc w:val="both"/>
      </w:pPr>
    </w:p>
    <w:p w:rsidR="00137F5C" w:rsidRPr="005A060B" w:rsidRDefault="00137F5C" w:rsidP="005A060B">
      <w:pPr>
        <w:pStyle w:val="ConsPlusNonformat"/>
        <w:jc w:val="both"/>
      </w:pPr>
      <w:r w:rsidRPr="005A060B">
        <w:t xml:space="preserve">    </w:t>
      </w:r>
      <w:hyperlink r:id="rId10" w:history="1">
        <w:r w:rsidRPr="005A060B">
          <w:t>Стр. 1400</w:t>
        </w:r>
      </w:hyperlink>
      <w:r w:rsidRPr="005A060B">
        <w:t xml:space="preserve"> + </w:t>
      </w:r>
      <w:hyperlink r:id="rId11" w:history="1">
        <w:r w:rsidRPr="005A060B">
          <w:t>стр. 1510</w:t>
        </w:r>
      </w:hyperlink>
      <w:r w:rsidRPr="005A060B">
        <w:t xml:space="preserve"> формы N 1</w:t>
      </w:r>
    </w:p>
    <w:p w:rsidR="00137F5C" w:rsidRPr="005A060B" w:rsidRDefault="00137F5C" w:rsidP="005A060B">
      <w:pPr>
        <w:pStyle w:val="ConsPlusNonformat"/>
        <w:jc w:val="both"/>
      </w:pPr>
      <w:r w:rsidRPr="005A060B">
        <w:t xml:space="preserve">    -------------------------------.</w:t>
      </w:r>
    </w:p>
    <w:p w:rsidR="00137F5C" w:rsidRPr="005A060B" w:rsidRDefault="00137F5C" w:rsidP="005A060B">
      <w:pPr>
        <w:pStyle w:val="ConsPlusNonformat"/>
        <w:jc w:val="both"/>
      </w:pPr>
      <w:r w:rsidRPr="005A060B">
        <w:t xml:space="preserve">     Среднемесячная валовая выручка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Коэффициент задолженности другим организациям</w:t>
      </w:r>
      <w:r w:rsidRPr="005A060B">
        <w:rPr>
          <w:sz w:val="28"/>
          <w:szCs w:val="28"/>
        </w:rPr>
        <w:t xml:space="preserve"> вычисляется как частное от деления суммы обязательств по строкам </w:t>
      </w:r>
      <w:hyperlink r:id="rId12" w:history="1">
        <w:r w:rsidRPr="005A060B">
          <w:rPr>
            <w:sz w:val="28"/>
            <w:szCs w:val="28"/>
          </w:rPr>
          <w:t>"Поставщики и подрядчики"</w:t>
        </w:r>
      </w:hyperlink>
      <w:r w:rsidRPr="005A060B">
        <w:rPr>
          <w:sz w:val="28"/>
          <w:szCs w:val="28"/>
        </w:rPr>
        <w:t xml:space="preserve"> и </w:t>
      </w:r>
      <w:hyperlink r:id="rId13" w:history="1">
        <w:r w:rsidRPr="005A060B">
          <w:rPr>
            <w:sz w:val="28"/>
            <w:szCs w:val="28"/>
          </w:rPr>
          <w:t>"Прочие кредиторы"</w:t>
        </w:r>
      </w:hyperlink>
      <w:r w:rsidRPr="005A060B">
        <w:rPr>
          <w:sz w:val="28"/>
          <w:szCs w:val="28"/>
        </w:rPr>
        <w:t xml:space="preserve"> на среднемесячную валовую выручку. Все эти данные функционально относятся к обязательствам организации перед прямыми кредиторами или ее контрагентами.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Коэффициент задолженности фискальной системе</w:t>
      </w:r>
      <w:r w:rsidRPr="005A060B">
        <w:rPr>
          <w:sz w:val="28"/>
          <w:szCs w:val="28"/>
        </w:rPr>
        <w:t xml:space="preserve"> вычисляется как частное от деления суммы обязательств по строкам </w:t>
      </w:r>
      <w:hyperlink r:id="rId14" w:history="1">
        <w:r w:rsidRPr="005A060B">
          <w:rPr>
            <w:sz w:val="28"/>
            <w:szCs w:val="28"/>
          </w:rPr>
          <w:t xml:space="preserve">"Задолженность перед </w:t>
        </w:r>
        <w:r w:rsidRPr="005A060B">
          <w:rPr>
            <w:sz w:val="28"/>
            <w:szCs w:val="28"/>
          </w:rPr>
          <w:lastRenderedPageBreak/>
          <w:t>государственными внебюджетными фондами"</w:t>
        </w:r>
      </w:hyperlink>
      <w:r w:rsidRPr="005A060B">
        <w:rPr>
          <w:sz w:val="28"/>
          <w:szCs w:val="28"/>
        </w:rPr>
        <w:t xml:space="preserve"> и </w:t>
      </w:r>
      <w:hyperlink r:id="rId15" w:history="1">
        <w:r w:rsidRPr="005A060B">
          <w:rPr>
            <w:sz w:val="28"/>
            <w:szCs w:val="28"/>
          </w:rPr>
          <w:t>"Задолженность перед бюджетом"</w:t>
        </w:r>
      </w:hyperlink>
      <w:r w:rsidRPr="005A060B">
        <w:rPr>
          <w:sz w:val="28"/>
          <w:szCs w:val="28"/>
        </w:rPr>
        <w:t xml:space="preserve"> на среднемесячную валовую выручку.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Коэффициент внутреннего долга</w:t>
      </w:r>
      <w:r w:rsidRPr="005A060B">
        <w:rPr>
          <w:sz w:val="28"/>
          <w:szCs w:val="28"/>
        </w:rPr>
        <w:t xml:space="preserve"> вычисляется как частное от деления суммы обязательств </w:t>
      </w:r>
      <w:hyperlink r:id="rId16" w:history="1">
        <w:r w:rsidRPr="005A060B">
          <w:rPr>
            <w:sz w:val="28"/>
            <w:szCs w:val="28"/>
          </w:rPr>
          <w:t>"Задолженность перед персоналом организации"</w:t>
        </w:r>
      </w:hyperlink>
      <w:r w:rsidRPr="005A060B">
        <w:rPr>
          <w:sz w:val="28"/>
          <w:szCs w:val="28"/>
        </w:rPr>
        <w:t>, "</w:t>
      </w:r>
      <w:hyperlink r:id="rId17" w:history="1">
        <w:r w:rsidRPr="005A060B">
          <w:rPr>
            <w:sz w:val="28"/>
            <w:szCs w:val="28"/>
          </w:rPr>
          <w:t>Задолженность участникам (учредителям)</w:t>
        </w:r>
      </w:hyperlink>
      <w:r w:rsidRPr="005A060B">
        <w:rPr>
          <w:sz w:val="28"/>
          <w:szCs w:val="28"/>
        </w:rPr>
        <w:t xml:space="preserve"> по выплате доходов", </w:t>
      </w:r>
      <w:hyperlink r:id="rId18" w:history="1">
        <w:r w:rsidRPr="005A060B">
          <w:rPr>
            <w:sz w:val="28"/>
            <w:szCs w:val="28"/>
          </w:rPr>
          <w:t>"Доходы будущих периодов"</w:t>
        </w:r>
      </w:hyperlink>
      <w:r w:rsidRPr="005A060B">
        <w:rPr>
          <w:sz w:val="28"/>
          <w:szCs w:val="28"/>
        </w:rPr>
        <w:t xml:space="preserve">, </w:t>
      </w:r>
      <w:hyperlink r:id="rId19" w:history="1">
        <w:r w:rsidRPr="005A060B">
          <w:rPr>
            <w:sz w:val="28"/>
            <w:szCs w:val="28"/>
          </w:rPr>
          <w:t>"Резервы предстоящих расходов"</w:t>
        </w:r>
      </w:hyperlink>
      <w:r w:rsidRPr="005A060B">
        <w:rPr>
          <w:sz w:val="28"/>
          <w:szCs w:val="28"/>
        </w:rPr>
        <w:t xml:space="preserve">, </w:t>
      </w:r>
      <w:hyperlink r:id="rId20" w:history="1">
        <w:r w:rsidRPr="005A060B">
          <w:rPr>
            <w:sz w:val="28"/>
            <w:szCs w:val="28"/>
          </w:rPr>
          <w:t>"Прочие краткосрочные обязательства"</w:t>
        </w:r>
      </w:hyperlink>
      <w:r w:rsidRPr="005A060B">
        <w:rPr>
          <w:sz w:val="28"/>
          <w:szCs w:val="28"/>
        </w:rPr>
        <w:t xml:space="preserve"> на среднемесячную валовую выручку.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Регулирование проведения финансового анализа неплатежеспособных организаций.</w:t>
      </w:r>
      <w:r w:rsidRPr="005A060B">
        <w:rPr>
          <w:sz w:val="28"/>
          <w:szCs w:val="28"/>
        </w:rPr>
        <w:t xml:space="preserve"> Анализ финансового состояния организаций, введенных в процедуру банкротства, можно отнести к регламентируемому анализу. Такого рода анализ является обязательным для ряда организаций, цели его проведения и требуемые к раскрытию показатели и коэффициенты достаточно жестко прописаны соответствующими нормативными актами.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В соответствии с Федеральным </w:t>
      </w:r>
      <w:hyperlink r:id="rId21" w:history="1">
        <w:r w:rsidRPr="005A060B">
          <w:rPr>
            <w:sz w:val="28"/>
            <w:szCs w:val="28"/>
          </w:rPr>
          <w:t>законом</w:t>
        </w:r>
      </w:hyperlink>
      <w:r w:rsidRPr="005A060B">
        <w:rPr>
          <w:sz w:val="28"/>
          <w:szCs w:val="28"/>
        </w:rPr>
        <w:t xml:space="preserve"> от 26 октября 2002 г. N 127-ФЗ (в ред. от 3 июля 2016 г.) "О несостоятельности (банкротстве)" признаком банкротства для юридических лиц считается неспособность удовлетворить требования кредиторов по денежным обязательствам и (или) исполнить обязанность по уплате обязательных платежей, если соответствующие обязательства и (или) обязанность не исполнены им в течение трех месяцев с даты, когда они должны были быть исполнены. Несостоятельность (банкротство) - признанная арбитражным судом неспособность должника в полном объеме удовлетворить требования кредиторов по денежным обязательствам и (или) исполнить обязанность по уплате обязательных платежей.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В </w:t>
      </w:r>
      <w:hyperlink r:id="rId22" w:history="1">
        <w:r w:rsidRPr="005A060B">
          <w:rPr>
            <w:sz w:val="28"/>
            <w:szCs w:val="28"/>
          </w:rPr>
          <w:t>п. 1 ст. 29</w:t>
        </w:r>
      </w:hyperlink>
      <w:r w:rsidRPr="005A060B">
        <w:rPr>
          <w:sz w:val="28"/>
          <w:szCs w:val="28"/>
        </w:rPr>
        <w:t xml:space="preserve"> этого Закона сказано, что правила проведения финансового анализа и правила проверки наличия признаков фиктивного и преднамеренного банкротства утверждаются Правительством РФ.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В соответствии с указанной </w:t>
      </w:r>
      <w:hyperlink r:id="rId23" w:history="1">
        <w:r w:rsidRPr="005A060B">
          <w:rPr>
            <w:sz w:val="28"/>
            <w:szCs w:val="28"/>
          </w:rPr>
          <w:t>статьей</w:t>
        </w:r>
      </w:hyperlink>
      <w:r w:rsidRPr="005A060B">
        <w:rPr>
          <w:sz w:val="28"/>
          <w:szCs w:val="28"/>
        </w:rPr>
        <w:t xml:space="preserve"> на сегодняшний день действуют следующие акты: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- </w:t>
      </w:r>
      <w:hyperlink r:id="rId24" w:history="1">
        <w:r w:rsidRPr="005A060B">
          <w:rPr>
            <w:sz w:val="28"/>
            <w:szCs w:val="28"/>
          </w:rPr>
          <w:t>Правила</w:t>
        </w:r>
      </w:hyperlink>
      <w:r w:rsidRPr="005A060B">
        <w:rPr>
          <w:sz w:val="28"/>
          <w:szCs w:val="28"/>
        </w:rPr>
        <w:t xml:space="preserve"> проведения арбитражным управляющим финансового анализа, утвержденные Постановлением Правительства РФ (далее - Правила). </w:t>
      </w:r>
      <w:hyperlink r:id="rId25" w:history="1">
        <w:r w:rsidRPr="005A060B">
          <w:rPr>
            <w:sz w:val="28"/>
            <w:szCs w:val="28"/>
          </w:rPr>
          <w:t>Правила</w:t>
        </w:r>
      </w:hyperlink>
      <w:r w:rsidRPr="005A060B">
        <w:rPr>
          <w:sz w:val="28"/>
          <w:szCs w:val="28"/>
        </w:rPr>
        <w:t xml:space="preserve"> определяют принципы и условия проведения арбитражным управляющим финансового анализа, а также состав сведений, используемых арбитражным управляющим при его проведении;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- </w:t>
      </w:r>
      <w:hyperlink r:id="rId26" w:history="1">
        <w:r w:rsidRPr="005A060B">
          <w:rPr>
            <w:sz w:val="28"/>
            <w:szCs w:val="28"/>
          </w:rPr>
          <w:t>Постановление</w:t>
        </w:r>
      </w:hyperlink>
      <w:r w:rsidRPr="005A060B">
        <w:rPr>
          <w:sz w:val="28"/>
          <w:szCs w:val="28"/>
        </w:rPr>
        <w:t xml:space="preserve"> Правительства РФ "Об утверждении Временных правил проверки арбитражным управляющим наличия признаков фиктивного и преднамеренного банкротства".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Для доказательства несостоятельности неплатежеспособного предприятия и возможности восстановления его платежеспособности, ликвидации причин неплатежеспособности следует провести комплексный экономический анализ финансового состояния предприятия по всем вопросам, изложенным в данной главе.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Основой для проведения анализа, конечно, является бухгалтерская отчетность. </w:t>
      </w:r>
      <w:proofErr w:type="spellStart"/>
      <w:r w:rsidRPr="005A060B">
        <w:rPr>
          <w:sz w:val="28"/>
          <w:szCs w:val="28"/>
        </w:rPr>
        <w:t>Унифицированность</w:t>
      </w:r>
      <w:proofErr w:type="spellEnd"/>
      <w:r w:rsidRPr="005A060B">
        <w:rPr>
          <w:sz w:val="28"/>
          <w:szCs w:val="28"/>
        </w:rPr>
        <w:t xml:space="preserve"> форм бухгалтерской отчетности, </w:t>
      </w:r>
      <w:r w:rsidRPr="005A060B">
        <w:rPr>
          <w:sz w:val="28"/>
          <w:szCs w:val="28"/>
        </w:rPr>
        <w:lastRenderedPageBreak/>
        <w:t xml:space="preserve">несомненно, облегчает проведение анализа. Но при этом следует отметить следующее: </w:t>
      </w:r>
      <w:hyperlink r:id="rId27" w:history="1">
        <w:r w:rsidRPr="005A060B">
          <w:rPr>
            <w:sz w:val="28"/>
            <w:szCs w:val="28"/>
          </w:rPr>
          <w:t>формы N 1</w:t>
        </w:r>
      </w:hyperlink>
      <w:r w:rsidRPr="005A060B">
        <w:rPr>
          <w:sz w:val="28"/>
          <w:szCs w:val="28"/>
        </w:rPr>
        <w:t xml:space="preserve"> и </w:t>
      </w:r>
      <w:hyperlink r:id="rId28" w:history="1">
        <w:r w:rsidRPr="005A060B">
          <w:rPr>
            <w:sz w:val="28"/>
            <w:szCs w:val="28"/>
          </w:rPr>
          <w:t>N 2</w:t>
        </w:r>
      </w:hyperlink>
      <w:r w:rsidRPr="005A060B">
        <w:rPr>
          <w:sz w:val="28"/>
          <w:szCs w:val="28"/>
        </w:rPr>
        <w:t xml:space="preserve"> в обязательном порядке составляются ежеквартально, а </w:t>
      </w:r>
      <w:hyperlink r:id="rId29" w:history="1">
        <w:r w:rsidRPr="005A060B">
          <w:rPr>
            <w:sz w:val="28"/>
            <w:szCs w:val="28"/>
          </w:rPr>
          <w:t>формы N 3</w:t>
        </w:r>
      </w:hyperlink>
      <w:r w:rsidRPr="005A060B">
        <w:rPr>
          <w:sz w:val="28"/>
          <w:szCs w:val="28"/>
        </w:rPr>
        <w:t xml:space="preserve"> - </w:t>
      </w:r>
      <w:hyperlink r:id="rId30" w:history="1">
        <w:r w:rsidRPr="005A060B">
          <w:rPr>
            <w:sz w:val="28"/>
            <w:szCs w:val="28"/>
          </w:rPr>
          <w:t>5</w:t>
        </w:r>
      </w:hyperlink>
      <w:r w:rsidRPr="005A060B">
        <w:rPr>
          <w:sz w:val="28"/>
          <w:szCs w:val="28"/>
        </w:rPr>
        <w:t xml:space="preserve"> - только по итогам года; </w:t>
      </w:r>
      <w:hyperlink r:id="rId31" w:history="1">
        <w:r w:rsidRPr="005A060B">
          <w:rPr>
            <w:sz w:val="28"/>
            <w:szCs w:val="28"/>
          </w:rPr>
          <w:t>форма N 6</w:t>
        </w:r>
      </w:hyperlink>
      <w:r w:rsidRPr="005A060B">
        <w:rPr>
          <w:sz w:val="28"/>
          <w:szCs w:val="28"/>
        </w:rPr>
        <w:t xml:space="preserve"> составляется только организациями, получавшими в отчетном периоде целевое финансирование либо имеющими остатки по данной статье с предыдущих периодов. </w:t>
      </w:r>
      <w:hyperlink r:id="rId32" w:history="1">
        <w:r w:rsidRPr="005A060B">
          <w:rPr>
            <w:sz w:val="28"/>
            <w:szCs w:val="28"/>
          </w:rPr>
          <w:t>Правилами</w:t>
        </w:r>
      </w:hyperlink>
      <w:r w:rsidRPr="005A060B">
        <w:rPr>
          <w:sz w:val="28"/>
          <w:szCs w:val="28"/>
        </w:rPr>
        <w:t xml:space="preserve"> установлено, что анализ должен проводиться с учетом поквартальных изменений. Следовательно, при анализе поквартальных изменений (особенно это относится к анализу активов и пассивов должника) следует активно использовать бухгалтерские регистры.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Анализ финансового состояния должника в соответствии с </w:t>
      </w:r>
      <w:hyperlink r:id="rId33" w:history="1">
        <w:r w:rsidRPr="005A060B">
          <w:rPr>
            <w:sz w:val="28"/>
            <w:szCs w:val="28"/>
          </w:rPr>
          <w:t>Правилами</w:t>
        </w:r>
      </w:hyperlink>
      <w:r w:rsidRPr="005A060B">
        <w:rPr>
          <w:sz w:val="28"/>
          <w:szCs w:val="28"/>
        </w:rPr>
        <w:t xml:space="preserve"> включает: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коэффициенты финансово-хозяйственной деятельности должника и показатели, используемые для их расчета, рассчитанные поквартально не менее чем за двухлетний период, предшествующий возбуждению производства по делу о несостоятельности (банкротстве), а также за период проведения процедур банкротства в отношении должника, и динамика их изменения;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причины утраты платежеспособности с учетом динамики изменения коэффициентов финансово-хозяйственной деятельности;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результаты анализа хозяйственной, инвестиционной и финансовой деятельности должника, его положения на товарных и иных рынках;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результаты анализа активов и пассивов должника;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результаты анализа возможности безубыточной деятельности должника;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вывод о возможности (невозможности) восстановления платежеспособности должника.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В соответствии с </w:t>
      </w:r>
      <w:hyperlink r:id="rId34" w:history="1">
        <w:r w:rsidRPr="005A060B">
          <w:rPr>
            <w:sz w:val="28"/>
            <w:szCs w:val="28"/>
          </w:rPr>
          <w:t>Правилами</w:t>
        </w:r>
      </w:hyperlink>
      <w:r w:rsidRPr="005A060B">
        <w:rPr>
          <w:sz w:val="28"/>
          <w:szCs w:val="28"/>
        </w:rPr>
        <w:t xml:space="preserve"> коэффициенты, необходимые к расчету при анализе финансового состояния организаций, в отношении которых возбуждено дело о банкротстве, подразделяются на следующие группы: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коэффициенты, характеризующие платежеспособность;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коэффициенты, характеризующие финансовую устойчивость;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коэффициенты, характеризующие деловую активность.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Для расчета коэффициентов финансово-хозяйственной деятельности должника используются следующие основные показатели, во многих случаях скорректированные с учетом особенностей анализа неплатежеспособных организаций: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- скорректированные </w:t>
      </w:r>
      <w:proofErr w:type="spellStart"/>
      <w:r w:rsidRPr="005A060B">
        <w:rPr>
          <w:sz w:val="28"/>
          <w:szCs w:val="28"/>
        </w:rPr>
        <w:t>внеоборотные</w:t>
      </w:r>
      <w:proofErr w:type="spellEnd"/>
      <w:r w:rsidRPr="005A060B">
        <w:rPr>
          <w:sz w:val="28"/>
          <w:szCs w:val="28"/>
        </w:rPr>
        <w:t xml:space="preserve"> активы - сумма стоимости нематериальных активов (без деловой репутации и организационных расходов), основных средств (без капитальных затрат на арендуемые основные средства), незавершенных капитальных вложений (без незавершенных капитальных затрат на арендуемые основные средства), доходных вложений в материальные ценности, долгосрочных финансовых вложений, прочих </w:t>
      </w:r>
      <w:proofErr w:type="spellStart"/>
      <w:r w:rsidRPr="005A060B">
        <w:rPr>
          <w:sz w:val="28"/>
          <w:szCs w:val="28"/>
        </w:rPr>
        <w:t>внеоборотных</w:t>
      </w:r>
      <w:proofErr w:type="spellEnd"/>
      <w:r w:rsidRPr="005A060B">
        <w:rPr>
          <w:sz w:val="28"/>
          <w:szCs w:val="28"/>
        </w:rPr>
        <w:t xml:space="preserve"> активов;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 xml:space="preserve">- оборотные активы - сумма стоимости запасов (без стоимости отгруженных товаров), НДС по приобретенным ценностям, долгосрочной </w:t>
      </w:r>
      <w:r w:rsidRPr="005A060B">
        <w:rPr>
          <w:sz w:val="28"/>
          <w:szCs w:val="28"/>
        </w:rPr>
        <w:lastRenderedPageBreak/>
        <w:t>дебиторской задолженности, ликвидных активов;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ликвидные активы - сумма стоимости наиболее ликвидных оборотных активов, краткосрочной дебиторской задолженности, прочих оборотных активов;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наиболее ликвидные оборотные активы - денежные средства, краткосрочные финансовые вложения;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краткосрочная дебиторская задолженность - сумма стоимости отгруженных товаров, дебиторская задолженность, платежи по которой ожидаются в течение 12 месяцев после отчетной даты (без задолженности участников (учредителей) по взносам в уставный капитал);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потенциальные оборотные активы к возврату - списанная в убыток сумма дебиторской задолженности и сумма выданных гарантий и поручительств;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собственные средства - сумма капитала и резервов, доходов будущих периодов, резервов предстоящих расходов за вычетом капитальных затрат по арендованному имуществу, задолженности акционеров (участников) по взносам в уставный капитал и стоимости собственных акций, выкупленных у акционеров;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текущие обязательства должника - сумма займов и кредитов, подлежащих погашению в течение 12 месяцев после отчетной даты, кредиторской задолженности, задолженности участникам (учредителям) по выплате доходов и прочих краткосрочных обязательств;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среднемесячная выручка - отношение величины валовой выручки (с НДС), полученной за определенный период как в денежной форме, так и в форме взаимозачетов, к количеству месяцев в периоде.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Коэффициенты, характеризующие платежеспособность</w:t>
      </w:r>
      <w:r w:rsidRPr="005A060B">
        <w:rPr>
          <w:sz w:val="28"/>
          <w:szCs w:val="28"/>
        </w:rPr>
        <w:t xml:space="preserve"> организации-должника: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коэффициент абсолютной ликвидности;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коэффициент текущей ликвидности;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показатель обеспеченности обязательств должника его активами (коэффициент общей платежеспособности);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степень платежеспособности по текущим обязательствам.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Коэффициенты, характеризующие финансовую устойчивость</w:t>
      </w:r>
      <w:r w:rsidRPr="005A060B">
        <w:rPr>
          <w:sz w:val="28"/>
          <w:szCs w:val="28"/>
        </w:rPr>
        <w:t xml:space="preserve"> должника: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коэффициент автономии (финансовой независимости);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коэффициент обеспеченности собственными оборотными средствами (доля собственных оборотных средств в оборотных активах);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доля просроченной кредиторской задолженности в пассивах;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показатель отношения дебиторской задолженности к совокупным активам.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b/>
          <w:bCs/>
          <w:sz w:val="28"/>
          <w:szCs w:val="28"/>
        </w:rPr>
        <w:t>Коэффициенты, характеризующие деловую активность</w:t>
      </w:r>
      <w:r w:rsidRPr="005A060B">
        <w:rPr>
          <w:sz w:val="28"/>
          <w:szCs w:val="28"/>
        </w:rPr>
        <w:t xml:space="preserve"> должника:</w:t>
      </w:r>
    </w:p>
    <w:p w:rsidR="00137F5C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рентабельность активов по чистой прибыли;</w:t>
      </w:r>
    </w:p>
    <w:p w:rsidR="001B3354" w:rsidRPr="005A060B" w:rsidRDefault="00137F5C" w:rsidP="005A060B">
      <w:pPr>
        <w:pStyle w:val="ConsPlusNormal"/>
        <w:ind w:firstLine="709"/>
        <w:jc w:val="both"/>
        <w:rPr>
          <w:sz w:val="28"/>
          <w:szCs w:val="28"/>
        </w:rPr>
      </w:pPr>
      <w:r w:rsidRPr="005A060B">
        <w:rPr>
          <w:sz w:val="28"/>
          <w:szCs w:val="28"/>
        </w:rPr>
        <w:t>- норма чистой прибыли (рентабельность продаж по чистой прибыли).</w:t>
      </w:r>
    </w:p>
    <w:sectPr w:rsidR="001B3354" w:rsidRPr="005A060B" w:rsidSect="008B5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37F5C"/>
    <w:rsid w:val="00137F5C"/>
    <w:rsid w:val="001B3354"/>
    <w:rsid w:val="003D53BF"/>
    <w:rsid w:val="005A060B"/>
    <w:rsid w:val="008B5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137F5C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137F5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37F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137F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gin.consultant.ru/link/?req=doc&amp;base=ROS&amp;n=179211&amp;date=23.01.2020&amp;dst=100072&amp;fld=134" TargetMode="External"/><Relationship Id="rId13" Type="http://schemas.openxmlformats.org/officeDocument/2006/relationships/hyperlink" Target="http://login.consultant.ru/link/?req=doc&amp;base=ROS&amp;n=107973&amp;date=23.01.2020&amp;dst=100140&amp;fld=134" TargetMode="External"/><Relationship Id="rId18" Type="http://schemas.openxmlformats.org/officeDocument/2006/relationships/hyperlink" Target="http://login.consultant.ru/link/?req=doc&amp;base=ROS&amp;n=107973&amp;date=23.01.2020&amp;dst=100142&amp;fld=134" TargetMode="External"/><Relationship Id="rId26" Type="http://schemas.openxmlformats.org/officeDocument/2006/relationships/hyperlink" Target="http://login.consultant.ru/link/?req=doc&amp;base=ROS&amp;n=51004&amp;date=23.01.202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login.consultant.ru/link/?req=doc&amp;base=ROS&amp;n=194764&amp;date=23.01.2020" TargetMode="External"/><Relationship Id="rId34" Type="http://schemas.openxmlformats.org/officeDocument/2006/relationships/hyperlink" Target="http://login.consultant.ru/link/?req=doc&amp;base=ROS&amp;n=42901&amp;date=23.01.2020&amp;dst=100008&amp;fld=134" TargetMode="External"/><Relationship Id="rId7" Type="http://schemas.openxmlformats.org/officeDocument/2006/relationships/hyperlink" Target="http://login.consultant.ru/link/?req=doc&amp;base=ROS&amp;n=179211&amp;date=23.01.2020&amp;dst=100079&amp;fld=134" TargetMode="External"/><Relationship Id="rId12" Type="http://schemas.openxmlformats.org/officeDocument/2006/relationships/hyperlink" Target="http://login.consultant.ru/link/?req=doc&amp;base=ROS&amp;n=107973&amp;date=23.01.2020&amp;dst=100136&amp;fld=134" TargetMode="External"/><Relationship Id="rId17" Type="http://schemas.openxmlformats.org/officeDocument/2006/relationships/hyperlink" Target="http://login.consultant.ru/link/?req=doc&amp;base=ROS&amp;n=107973&amp;date=23.01.2020&amp;dst=100141&amp;fld=134" TargetMode="External"/><Relationship Id="rId25" Type="http://schemas.openxmlformats.org/officeDocument/2006/relationships/hyperlink" Target="http://login.consultant.ru/link/?req=doc&amp;base=ROS&amp;n=42901&amp;date=23.01.2020&amp;dst=100008&amp;fld=134" TargetMode="External"/><Relationship Id="rId33" Type="http://schemas.openxmlformats.org/officeDocument/2006/relationships/hyperlink" Target="http://login.consultant.ru/link/?req=doc&amp;base=ROS&amp;n=42901&amp;date=23.01.2020&amp;dst=100008&amp;f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login.consultant.ru/link/?req=doc&amp;base=ROS&amp;n=107973&amp;date=23.01.2020&amp;dst=100137&amp;fld=134" TargetMode="External"/><Relationship Id="rId20" Type="http://schemas.openxmlformats.org/officeDocument/2006/relationships/hyperlink" Target="http://login.consultant.ru/link/?req=doc&amp;base=ROS&amp;n=107973&amp;date=23.01.2020&amp;dst=100144&amp;fld=134" TargetMode="External"/><Relationship Id="rId29" Type="http://schemas.openxmlformats.org/officeDocument/2006/relationships/hyperlink" Target="http://login.consultant.ru/link/?req=doc&amp;base=ROS&amp;n=179211&amp;date=23.01.2020&amp;dst=100138&amp;fld=134" TargetMode="External"/><Relationship Id="rId1" Type="http://schemas.openxmlformats.org/officeDocument/2006/relationships/styles" Target="styles.xml"/><Relationship Id="rId6" Type="http://schemas.openxmlformats.org/officeDocument/2006/relationships/hyperlink" Target="http://login.consultant.ru/link/?req=doc&amp;base=ROS&amp;n=30162&amp;date=23.01.2020" TargetMode="External"/><Relationship Id="rId11" Type="http://schemas.openxmlformats.org/officeDocument/2006/relationships/hyperlink" Target="http://login.consultant.ru/link/?req=doc&amp;base=ROS&amp;n=179211&amp;date=23.01.2020&amp;dst=100074&amp;fld=134" TargetMode="External"/><Relationship Id="rId24" Type="http://schemas.openxmlformats.org/officeDocument/2006/relationships/hyperlink" Target="http://login.consultant.ru/link/?req=doc&amp;base=ROS&amp;n=42901&amp;date=23.01.2020&amp;dst=100008&amp;fld=134" TargetMode="External"/><Relationship Id="rId32" Type="http://schemas.openxmlformats.org/officeDocument/2006/relationships/hyperlink" Target="http://login.consultant.ru/link/?req=doc&amp;base=ROS&amp;n=42901&amp;date=23.01.2020&amp;dst=100008&amp;fld=134" TargetMode="External"/><Relationship Id="rId5" Type="http://schemas.openxmlformats.org/officeDocument/2006/relationships/hyperlink" Target="http://login.consultant.ru/link/?req=doc&amp;base=ROS&amp;n=179211&amp;date=23.01.2020&amp;dst=9&amp;fld=134" TargetMode="External"/><Relationship Id="rId15" Type="http://schemas.openxmlformats.org/officeDocument/2006/relationships/hyperlink" Target="http://login.consultant.ru/link/?req=doc&amp;base=ROS&amp;n=107973&amp;date=23.01.2020&amp;dst=100139&amp;fld=134" TargetMode="External"/><Relationship Id="rId23" Type="http://schemas.openxmlformats.org/officeDocument/2006/relationships/hyperlink" Target="http://login.consultant.ru/link/?req=doc&amp;base=ROS&amp;n=194764&amp;date=23.01.2020&amp;dst=599&amp;fld=134" TargetMode="External"/><Relationship Id="rId28" Type="http://schemas.openxmlformats.org/officeDocument/2006/relationships/hyperlink" Target="http://login.consultant.ru/link/?req=doc&amp;base=ROS&amp;n=179211&amp;date=23.01.2020&amp;dst=306&amp;fld=134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login.consultant.ru/link/?req=doc&amp;base=ROS&amp;n=179211&amp;date=23.01.2020&amp;dst=100072&amp;fld=134" TargetMode="External"/><Relationship Id="rId19" Type="http://schemas.openxmlformats.org/officeDocument/2006/relationships/hyperlink" Target="http://login.consultant.ru/link/?req=doc&amp;base=ROS&amp;n=107973&amp;date=23.01.2020&amp;dst=100143&amp;fld=134" TargetMode="External"/><Relationship Id="rId31" Type="http://schemas.openxmlformats.org/officeDocument/2006/relationships/hyperlink" Target="http://login.consultant.ru/link/?req=doc&amp;base=ROS&amp;n=179211&amp;date=23.01.2020&amp;dst=316&amp;fld=134" TargetMode="External"/><Relationship Id="rId4" Type="http://schemas.openxmlformats.org/officeDocument/2006/relationships/hyperlink" Target="http://login.consultant.ru/link/?req=doc&amp;base=ROS&amp;n=179211&amp;date=23.01.2020&amp;dst=100073&amp;fld=134" TargetMode="External"/><Relationship Id="rId9" Type="http://schemas.openxmlformats.org/officeDocument/2006/relationships/hyperlink" Target="http://login.consultant.ru/link/?req=doc&amp;base=ROS&amp;n=179211&amp;date=23.01.2020&amp;dst=100079&amp;fld=134" TargetMode="External"/><Relationship Id="rId14" Type="http://schemas.openxmlformats.org/officeDocument/2006/relationships/hyperlink" Target="http://login.consultant.ru/link/?req=doc&amp;base=ROS&amp;n=107973&amp;date=23.01.2020&amp;dst=100138&amp;fld=134" TargetMode="External"/><Relationship Id="rId22" Type="http://schemas.openxmlformats.org/officeDocument/2006/relationships/hyperlink" Target="http://login.consultant.ru/link/?req=doc&amp;base=ROS&amp;n=194764&amp;date=23.01.2020&amp;dst=600&amp;fld=134" TargetMode="External"/><Relationship Id="rId27" Type="http://schemas.openxmlformats.org/officeDocument/2006/relationships/hyperlink" Target="http://login.consultant.ru/link/?req=doc&amp;base=ROS&amp;n=179211&amp;date=23.01.2020&amp;dst=100026&amp;fld=134" TargetMode="External"/><Relationship Id="rId30" Type="http://schemas.openxmlformats.org/officeDocument/2006/relationships/hyperlink" Target="http://login.consultant.ru/link/?req=doc&amp;base=ROS&amp;n=179211&amp;date=23.01.2020&amp;dst=319&amp;fld=134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2715</Words>
  <Characters>15479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2020-03-18T08:33:00Z</dcterms:created>
  <dcterms:modified xsi:type="dcterms:W3CDTF">2020-03-18T09:29:00Z</dcterms:modified>
</cp:coreProperties>
</file>