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4E48" w:rsidRPr="00DC6A7A" w:rsidRDefault="00A74E48" w:rsidP="00A74E48">
      <w:pPr>
        <w:suppressAutoHyphens w:val="0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DC6A7A">
        <w:rPr>
          <w:rFonts w:eastAsia="Calibri"/>
          <w:b/>
          <w:sz w:val="28"/>
          <w:szCs w:val="28"/>
          <w:lang w:eastAsia="en-US"/>
        </w:rPr>
        <w:t>Тема 6.</w:t>
      </w:r>
    </w:p>
    <w:p w:rsidR="00A74E48" w:rsidRPr="00DC6A7A" w:rsidRDefault="00A74E48" w:rsidP="00A74E48">
      <w:pPr>
        <w:suppressAutoHyphens w:val="0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DC6A7A">
        <w:rPr>
          <w:rFonts w:eastAsia="Calibri"/>
          <w:b/>
          <w:sz w:val="28"/>
          <w:szCs w:val="28"/>
          <w:lang w:eastAsia="en-US"/>
        </w:rPr>
        <w:t>Деление тезиса</w:t>
      </w:r>
    </w:p>
    <w:p w:rsidR="00A74E48" w:rsidRPr="00DC6A7A" w:rsidRDefault="00A74E48" w:rsidP="00A74E48">
      <w:pPr>
        <w:suppressAutoHyphens w:val="0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</w:p>
    <w:p w:rsidR="00A74E48" w:rsidRPr="00DC6A7A" w:rsidRDefault="00A74E48" w:rsidP="00A74E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Когда тезис речи определен, ясно, что именно скажет выступающий. Если речь совсем маленькая по объему, этим можно и ограничиться. Однако если речь не сводится к простой реплике, и в ней предполагается раскрыть несколько взаимосвязанных мыслей, то необходимо еще одно действие, которое называется </w:t>
      </w:r>
      <w:r w:rsidRPr="00DC6A7A">
        <w:rPr>
          <w:rFonts w:eastAsia="Calibri"/>
          <w:b/>
          <w:i/>
          <w:sz w:val="28"/>
          <w:szCs w:val="28"/>
          <w:lang w:eastAsia="en-US"/>
        </w:rPr>
        <w:t>делением тезиса</w:t>
      </w:r>
      <w:r w:rsidRPr="00DC6A7A">
        <w:rPr>
          <w:rFonts w:eastAsia="Calibri"/>
          <w:sz w:val="28"/>
          <w:szCs w:val="28"/>
          <w:lang w:eastAsia="en-US"/>
        </w:rPr>
        <w:t xml:space="preserve"> на смысловые части. Эта работа позволяет выявить взаимосвязь и соотношение идей, придать речи стройную форму [Подробно см. Анисимова, Гимпельсон, 1998, Ч. 1, с. 63-68]. </w:t>
      </w:r>
    </w:p>
    <w:p w:rsidR="00A74E48" w:rsidRPr="00DC6A7A" w:rsidRDefault="00A74E48" w:rsidP="00A74E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Как же добиться того, чтобы сочинение не распадалось на части, а все мысли находились в логической взаимосвязи? Для этого на этапе замысливания речи необходимо произвести деление тезиса на составляющие части. Логическое деление понятия всегда совершается одним способом, в соответствии с признаком, положенным в основание деления. Так деревья делятся на хвойные и лиственные; субъекты Федерации – на республики, края и области; пассажирский транспорт </w:t>
      </w:r>
      <w:r w:rsidRPr="00DC6A7A">
        <w:rPr>
          <w:sz w:val="28"/>
          <w:szCs w:val="28"/>
        </w:rPr>
        <w:t>–</w:t>
      </w:r>
      <w:r w:rsidRPr="00DC6A7A">
        <w:rPr>
          <w:rFonts w:eastAsia="Calibri"/>
          <w:sz w:val="28"/>
          <w:szCs w:val="28"/>
          <w:lang w:eastAsia="en-US"/>
        </w:rPr>
        <w:t xml:space="preserve"> на воздушный, железнодорожный, автомобильный и водный и т.д. Всякое другое деление этих понятий должно быть признано ошибочным. Что касается риторического деления, то оно может быть произведено многими способами, каждый из которых признается правильным.</w:t>
      </w:r>
    </w:p>
    <w:p w:rsidR="00A74E48" w:rsidRPr="00DC6A7A" w:rsidRDefault="00A74E48" w:rsidP="00A74E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После того, как тезис сформулирован, задумываемся над вопросами:</w:t>
      </w:r>
      <w:r w:rsidRPr="00DC6A7A">
        <w:rPr>
          <w:rFonts w:eastAsia="Calibri"/>
          <w:i/>
          <w:sz w:val="28"/>
          <w:szCs w:val="28"/>
          <w:lang w:eastAsia="en-US"/>
        </w:rPr>
        <w:t xml:space="preserve"> что дает нам право это утверждать? почему это так? что нужно сказать слушателям, чтобы они согласились с нашим утверждением?</w:t>
      </w:r>
      <w:r w:rsidRPr="00DC6A7A">
        <w:rPr>
          <w:rFonts w:eastAsia="Calibri"/>
          <w:sz w:val="28"/>
          <w:szCs w:val="28"/>
          <w:lang w:eastAsia="en-US"/>
        </w:rPr>
        <w:t xml:space="preserve"> Каждое полученное таким образом суждение может быть в свою очередь подобным образом рассмотрено и разделено на более мелкие по значению суждения.</w:t>
      </w:r>
    </w:p>
    <w:p w:rsidR="00A74E48" w:rsidRPr="00DC6A7A" w:rsidRDefault="00A74E48" w:rsidP="00A74E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Обычно деление тезиса может быть совершено несколькими способами. Например, в речи, обращенной к старшеклассникам и призывающей поступать именно в наш институт, будем утверждать, что он дает самое лучшее образование. Что позволяет нам так утверждать? 1) потому что в нем работают очень квалифицированные преподаватели; 2) потому что в обучении используются самые современные формы и технические средства. </w:t>
      </w:r>
    </w:p>
    <w:p w:rsidR="00A74E48" w:rsidRPr="00DC6A7A" w:rsidRDefault="00A74E48" w:rsidP="00A74E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Понятно, что другой оратор в речи на эту же тему может высказать совсем другие мысли, например: 1) потому что получаемые здесь профессии наиболее востребованы общественной практикой; 2) потому что выпускники института получают работу в самых престижных учреждениях. </w:t>
      </w:r>
    </w:p>
    <w:p w:rsidR="00A74E48" w:rsidRPr="00DC6A7A" w:rsidRDefault="00A74E48" w:rsidP="00A74E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Третий оратор, возможно, представит совершенно иной взгляд на эту проблему. Однако в результате этой процедуры должны получиться содержательные блоки тезиса, которые дают нам возможность утверждать, что тема раскрыта полностью, и у слушателей не осталось сомнений или неясных мест.</w:t>
      </w:r>
    </w:p>
    <w:p w:rsidR="00A74E48" w:rsidRPr="00DC6A7A" w:rsidRDefault="00A74E48" w:rsidP="00A74E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Сколько частей необходимо иметь в речи, чтобы можно было утверждать, что тезис полностью раскрыт? Это в большой степени зависит от ситуации и аудитории, но также и от характера самого тезиса. Обычно в эпидейктических речах количество частей тезиса задается желанием оратора </w:t>
      </w:r>
      <w:r w:rsidRPr="00DC6A7A">
        <w:rPr>
          <w:rFonts w:eastAsia="Calibri"/>
          <w:sz w:val="28"/>
          <w:szCs w:val="28"/>
          <w:lang w:eastAsia="en-US"/>
        </w:rPr>
        <w:lastRenderedPageBreak/>
        <w:t>и ситуацией и может варьироваться в весьма широких пределах. Например, в юбилейной речи можно говорить о любой (одной или нескольких) сторонах деятельности юбиляра, причем это могут быть как очевидные для всех аспекты, так и самые оригинальные и неожиданные. В убеждающих и призывающих речах, конечно, тоже возможны различные варианты, однако здесь количество и состав подтезисов часто задается необходимостью воздействия на аудиторию.</w:t>
      </w:r>
    </w:p>
    <w:p w:rsidR="00A74E48" w:rsidRPr="00DC6A7A" w:rsidRDefault="00A74E48" w:rsidP="00A74E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Подтезисы, полученные в результате деления тезиса, называются </w:t>
      </w:r>
      <w:r w:rsidRPr="00DC6A7A">
        <w:rPr>
          <w:rFonts w:eastAsia="Calibri"/>
          <w:i/>
          <w:sz w:val="28"/>
          <w:szCs w:val="28"/>
          <w:lang w:eastAsia="en-US"/>
        </w:rPr>
        <w:t>подтезисами первого уровня</w:t>
      </w:r>
      <w:r w:rsidRPr="00DC6A7A">
        <w:rPr>
          <w:rFonts w:eastAsia="Calibri"/>
          <w:sz w:val="28"/>
          <w:szCs w:val="28"/>
          <w:lang w:eastAsia="en-US"/>
        </w:rPr>
        <w:t xml:space="preserve">. Они в свою очередь могут быть подвергнуты делению, в результате чего получатся </w:t>
      </w:r>
      <w:r w:rsidRPr="00DC6A7A">
        <w:rPr>
          <w:rFonts w:eastAsia="Calibri"/>
          <w:i/>
          <w:sz w:val="28"/>
          <w:szCs w:val="28"/>
          <w:lang w:eastAsia="en-US"/>
        </w:rPr>
        <w:t>подтезисы второго уровня</w:t>
      </w:r>
      <w:r w:rsidRPr="00DC6A7A">
        <w:rPr>
          <w:rFonts w:eastAsia="Calibri"/>
          <w:sz w:val="28"/>
          <w:szCs w:val="28"/>
          <w:lang w:eastAsia="en-US"/>
        </w:rPr>
        <w:t xml:space="preserve"> и т.д., до тех пор, пока тезис не будет раскрыт полностью. Степень сложности </w:t>
      </w:r>
      <w:r w:rsidRPr="00DC6A7A">
        <w:rPr>
          <w:rFonts w:eastAsia="Calibri"/>
          <w:b/>
          <w:sz w:val="28"/>
          <w:szCs w:val="28"/>
          <w:lang w:eastAsia="en-US"/>
        </w:rPr>
        <w:t xml:space="preserve">тезисного плана </w:t>
      </w:r>
      <w:r w:rsidRPr="00DC6A7A">
        <w:rPr>
          <w:rFonts w:eastAsia="Calibri"/>
          <w:sz w:val="28"/>
          <w:szCs w:val="28"/>
          <w:lang w:eastAsia="en-US"/>
        </w:rPr>
        <w:t>в большой степени зависит от интеллектуального уровня аудитории: чем выше этот уровень, тем сложнее может быть тезисный план.</w:t>
      </w:r>
    </w:p>
    <w:p w:rsidR="00A74E48" w:rsidRPr="00DC6A7A" w:rsidRDefault="00A74E48" w:rsidP="00A74E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Важно следить, чтобы каждая формулировка тезисного плана</w:t>
      </w:r>
      <w:r w:rsidRPr="00DC6A7A">
        <w:rPr>
          <w:rFonts w:eastAsia="Calibri"/>
          <w:b/>
          <w:sz w:val="28"/>
          <w:szCs w:val="28"/>
          <w:lang w:eastAsia="en-US"/>
        </w:rPr>
        <w:t xml:space="preserve"> </w:t>
      </w:r>
      <w:r w:rsidRPr="00DC6A7A">
        <w:rPr>
          <w:rFonts w:eastAsia="Calibri"/>
          <w:sz w:val="28"/>
          <w:szCs w:val="28"/>
          <w:lang w:eastAsia="en-US"/>
        </w:rPr>
        <w:t>была именно суждением, а не заголовком (назывным предложением) или вопросом. Тезисный план составляется для себя, а не для слушателей. Из названий отдельных пунктов должно быть в общих чертах понятно, что автор хочет здесь сказать, а из всего тезисного плана</w:t>
      </w:r>
      <w:r w:rsidRPr="00DC6A7A">
        <w:rPr>
          <w:rFonts w:eastAsia="Calibri"/>
          <w:b/>
          <w:sz w:val="28"/>
          <w:szCs w:val="28"/>
          <w:lang w:eastAsia="en-US"/>
        </w:rPr>
        <w:t xml:space="preserve"> </w:t>
      </w:r>
      <w:r w:rsidRPr="00DC6A7A">
        <w:rPr>
          <w:rFonts w:eastAsia="Calibri"/>
          <w:sz w:val="28"/>
          <w:szCs w:val="28"/>
          <w:lang w:eastAsia="en-US"/>
        </w:rPr>
        <w:t xml:space="preserve">– видно общее содержание речи. </w:t>
      </w:r>
    </w:p>
    <w:p w:rsidR="00A74E48" w:rsidRPr="00DC6A7A" w:rsidRDefault="00A74E48" w:rsidP="00A74E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Все формулировки должны быть соразмерны, находиться в правильном соподчинении. </w:t>
      </w:r>
    </w:p>
    <w:p w:rsidR="00A74E48" w:rsidRPr="00DC6A7A" w:rsidRDefault="00A74E48" w:rsidP="00A74E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Тезисный план речи важно отличать от композиции речи. Суть различий состоит в том, что на этапе деления тезиса самой речи еще нет, и оратор разрабатывает только смысловой каркас будущего выступления. Это задача стратегическая. А на этапе расположения уже имеются все текстовые части речи и необходимо определить последовательность их предъявления конкретной аудитории. Это задача тактическая. </w:t>
      </w:r>
    </w:p>
    <w:p w:rsidR="00A74E48" w:rsidRPr="00DC6A7A" w:rsidRDefault="00A74E48" w:rsidP="00A74E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Вполне может оказаться, что при одном и том же варианте деления тезиса композиция окажется совершенно разной, поскольку в зависимости от характера аудитории оратор захочет расположить части речи совершенно по-разному, оставляя на конец выступления именно тот фрагмент, который покажется его слушателям наиболее сильным.</w:t>
      </w:r>
    </w:p>
    <w:p w:rsidR="00A74E48" w:rsidRPr="00DC6A7A" w:rsidRDefault="00A74E48" w:rsidP="00A74E48">
      <w:pPr>
        <w:suppressAutoHyphens w:val="0"/>
        <w:ind w:firstLine="720"/>
        <w:jc w:val="center"/>
        <w:rPr>
          <w:rFonts w:eastAsia="Calibri"/>
          <w:b/>
          <w:sz w:val="28"/>
          <w:szCs w:val="28"/>
          <w:lang w:eastAsia="en-US"/>
        </w:rPr>
      </w:pPr>
      <w:r w:rsidRPr="00DC6A7A">
        <w:rPr>
          <w:rFonts w:eastAsia="Calibri"/>
          <w:b/>
          <w:sz w:val="28"/>
          <w:szCs w:val="28"/>
          <w:lang w:eastAsia="en-US"/>
        </w:rPr>
        <w:t>Правила составления</w:t>
      </w:r>
      <w:r w:rsidRPr="00DC6A7A">
        <w:rPr>
          <w:rFonts w:eastAsia="Calibri"/>
          <w:b/>
          <w:i/>
          <w:sz w:val="28"/>
          <w:szCs w:val="28"/>
          <w:lang w:eastAsia="en-US"/>
        </w:rPr>
        <w:t xml:space="preserve"> </w:t>
      </w:r>
      <w:r w:rsidRPr="00DC6A7A">
        <w:rPr>
          <w:rFonts w:eastAsia="Calibri"/>
          <w:b/>
          <w:sz w:val="28"/>
          <w:szCs w:val="28"/>
          <w:lang w:eastAsia="en-US"/>
        </w:rPr>
        <w:t>тезисного плана</w:t>
      </w:r>
    </w:p>
    <w:p w:rsidR="00A74E48" w:rsidRPr="00DC6A7A" w:rsidRDefault="00A74E48" w:rsidP="00A74E48">
      <w:pPr>
        <w:widowControl w:val="0"/>
        <w:suppressAutoHyphens w:val="0"/>
        <w:autoSpaceDE w:val="0"/>
        <w:autoSpaceDN w:val="0"/>
        <w:ind w:left="118" w:right="174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 xml:space="preserve">При работе над </w:t>
      </w:r>
      <w:r w:rsidRPr="00DC6A7A">
        <w:rPr>
          <w:b/>
          <w:sz w:val="28"/>
          <w:szCs w:val="28"/>
          <w:lang w:eastAsia="en-US"/>
        </w:rPr>
        <w:t>тезисным планом</w:t>
      </w:r>
      <w:r w:rsidRPr="00DC6A7A">
        <w:rPr>
          <w:sz w:val="28"/>
          <w:szCs w:val="28"/>
          <w:lang w:eastAsia="en-US"/>
        </w:rPr>
        <w:t xml:space="preserve"> рекомендуется придерживаться следующих девяти правил [Подробно см. П. Сопер, 1995].</w:t>
      </w:r>
    </w:p>
    <w:p w:rsidR="00A74E48" w:rsidRPr="00DC6A7A" w:rsidRDefault="00A74E48" w:rsidP="00A74E48">
      <w:pPr>
        <w:widowControl w:val="0"/>
        <w:numPr>
          <w:ilvl w:val="0"/>
          <w:numId w:val="1"/>
        </w:numPr>
        <w:suppressAutoHyphens w:val="0"/>
        <w:autoSpaceDE w:val="0"/>
        <w:autoSpaceDN w:val="0"/>
        <w:ind w:right="174" w:firstLine="720"/>
        <w:jc w:val="both"/>
        <w:rPr>
          <w:sz w:val="28"/>
          <w:szCs w:val="28"/>
          <w:u w:val="single"/>
          <w:lang w:eastAsia="en-US"/>
        </w:rPr>
      </w:pPr>
      <w:r w:rsidRPr="00DC6A7A">
        <w:rPr>
          <w:sz w:val="28"/>
          <w:szCs w:val="28"/>
          <w:u w:val="single"/>
          <w:lang w:eastAsia="en-US"/>
        </w:rPr>
        <w:t>Пользуйтесь полным предложением!</w:t>
      </w:r>
    </w:p>
    <w:p w:rsidR="00A74E48" w:rsidRPr="00DC6A7A" w:rsidRDefault="00A74E48" w:rsidP="00A74E48">
      <w:pPr>
        <w:widowControl w:val="0"/>
        <w:suppressAutoHyphens w:val="0"/>
        <w:autoSpaceDE w:val="0"/>
        <w:autoSpaceDN w:val="0"/>
        <w:ind w:right="174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Это правило означает, что каждый подпункт тезисного плана – это</w:t>
      </w:r>
      <w:r w:rsidRPr="00DC6A7A">
        <w:rPr>
          <w:b/>
          <w:i/>
          <w:sz w:val="28"/>
          <w:szCs w:val="28"/>
          <w:lang w:eastAsia="en-US"/>
        </w:rPr>
        <w:t xml:space="preserve"> </w:t>
      </w:r>
      <w:r w:rsidRPr="00DC6A7A">
        <w:rPr>
          <w:sz w:val="28"/>
          <w:szCs w:val="28"/>
          <w:lang w:eastAsia="en-US"/>
        </w:rPr>
        <w:t>законченное по смыслу суждение, полное повествовательное предложение с субъектом и предикатом.</w:t>
      </w:r>
    </w:p>
    <w:p w:rsidR="00A74E48" w:rsidRPr="00DC6A7A" w:rsidRDefault="00A74E48" w:rsidP="00A74E48">
      <w:pPr>
        <w:numPr>
          <w:ilvl w:val="0"/>
          <w:numId w:val="1"/>
        </w:numPr>
        <w:suppressAutoHyphens w:val="0"/>
        <w:ind w:firstLine="720"/>
        <w:contextualSpacing/>
        <w:jc w:val="both"/>
        <w:rPr>
          <w:rFonts w:eastAsia="Calibri"/>
          <w:sz w:val="28"/>
          <w:szCs w:val="28"/>
          <w:u w:val="single"/>
          <w:lang w:eastAsia="en-US"/>
        </w:rPr>
      </w:pPr>
      <w:r w:rsidRPr="00DC6A7A">
        <w:rPr>
          <w:rFonts w:eastAsia="Calibri"/>
          <w:sz w:val="28"/>
          <w:szCs w:val="28"/>
          <w:u w:val="single"/>
          <w:lang w:eastAsia="en-US"/>
        </w:rPr>
        <w:t>Делите тезисный план на три части!</w:t>
      </w:r>
    </w:p>
    <w:p w:rsidR="00A74E48" w:rsidRPr="00DC6A7A" w:rsidRDefault="00A74E48" w:rsidP="00A74E48">
      <w:pPr>
        <w:suppressAutoHyphens w:val="0"/>
        <w:ind w:firstLine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b/>
          <w:i/>
          <w:sz w:val="28"/>
          <w:szCs w:val="28"/>
          <w:lang w:eastAsia="en-US"/>
        </w:rPr>
        <w:t>Введение</w:t>
      </w:r>
      <w:r w:rsidRPr="00DC6A7A">
        <w:rPr>
          <w:rFonts w:eastAsia="Calibri"/>
          <w:sz w:val="28"/>
          <w:szCs w:val="28"/>
          <w:lang w:eastAsia="en-US"/>
        </w:rPr>
        <w:t>. Даже в очень коротких речах необходимы две-три фразы, чтобы вызвать внимание, сформулировать и пояснить свои намерения и вообще подготовить почву для выполнения задания.</w:t>
      </w:r>
    </w:p>
    <w:p w:rsidR="00A74E48" w:rsidRPr="00DC6A7A" w:rsidRDefault="00A74E48" w:rsidP="00A74E48">
      <w:pPr>
        <w:widowControl w:val="0"/>
        <w:suppressAutoHyphens w:val="0"/>
        <w:autoSpaceDE w:val="0"/>
        <w:autoSpaceDN w:val="0"/>
        <w:spacing w:before="1"/>
        <w:ind w:right="92" w:firstLine="720"/>
        <w:jc w:val="both"/>
        <w:rPr>
          <w:sz w:val="28"/>
          <w:szCs w:val="28"/>
          <w:lang w:eastAsia="en-US"/>
        </w:rPr>
      </w:pPr>
      <w:r w:rsidRPr="00DC6A7A">
        <w:rPr>
          <w:b/>
          <w:i/>
          <w:sz w:val="28"/>
          <w:szCs w:val="28"/>
          <w:lang w:eastAsia="en-US"/>
        </w:rPr>
        <w:t>Главная часть.</w:t>
      </w:r>
      <w:r w:rsidRPr="00DC6A7A">
        <w:rPr>
          <w:sz w:val="28"/>
          <w:szCs w:val="28"/>
          <w:lang w:eastAsia="en-US"/>
        </w:rPr>
        <w:t xml:space="preserve"> Разделы главной части речей, имеющих только развлекательное или познавательное значение, включают не все главные идеи и вспомогательные данные, которые необходимо по возможности оттенить, а </w:t>
      </w:r>
      <w:r w:rsidRPr="00DC6A7A">
        <w:rPr>
          <w:sz w:val="28"/>
          <w:szCs w:val="28"/>
          <w:lang w:eastAsia="en-US"/>
        </w:rPr>
        <w:lastRenderedPageBreak/>
        <w:t>только существенные, имеющие значение с точки зрения вызываемого ими интереса и создающие представление о предмете. Разделы главной части агитационной речи должны включать все доказательства, доводы и другие данные, необходимые для должного воздействия.</w:t>
      </w:r>
    </w:p>
    <w:p w:rsidR="00A74E48" w:rsidRPr="00DC6A7A" w:rsidRDefault="00A74E48" w:rsidP="00A74E48">
      <w:pPr>
        <w:widowControl w:val="0"/>
        <w:suppressAutoHyphens w:val="0"/>
        <w:autoSpaceDE w:val="0"/>
        <w:autoSpaceDN w:val="0"/>
        <w:spacing w:line="242" w:lineRule="auto"/>
        <w:ind w:right="92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Главная часть тезисного плана должна быть достаточно детальная, чтобы в общем отметить все пункты речи.</w:t>
      </w:r>
    </w:p>
    <w:p w:rsidR="00A74E48" w:rsidRPr="00DC6A7A" w:rsidRDefault="00A74E48" w:rsidP="00A74E48">
      <w:pPr>
        <w:widowControl w:val="0"/>
        <w:suppressAutoHyphens w:val="0"/>
        <w:autoSpaceDE w:val="0"/>
        <w:autoSpaceDN w:val="0"/>
        <w:ind w:right="108" w:firstLine="720"/>
        <w:jc w:val="both"/>
        <w:rPr>
          <w:sz w:val="28"/>
          <w:szCs w:val="28"/>
          <w:lang w:eastAsia="en-US"/>
        </w:rPr>
      </w:pPr>
      <w:r w:rsidRPr="00DC6A7A">
        <w:rPr>
          <w:b/>
          <w:i/>
          <w:sz w:val="28"/>
          <w:szCs w:val="28"/>
          <w:lang w:eastAsia="en-US"/>
        </w:rPr>
        <w:t>Заключение.</w:t>
      </w:r>
      <w:r w:rsidRPr="00DC6A7A">
        <w:rPr>
          <w:sz w:val="28"/>
          <w:szCs w:val="28"/>
          <w:lang w:eastAsia="en-US"/>
        </w:rPr>
        <w:t xml:space="preserve"> Заключение содержит короткие подытоживающие утверждения и другие завершающие замечания, назначение которых обострить интерес и вызвать желательный отклик аудитории. </w:t>
      </w:r>
    </w:p>
    <w:p w:rsidR="00A74E48" w:rsidRPr="00DC6A7A" w:rsidRDefault="00A74E48" w:rsidP="00A74E48">
      <w:pPr>
        <w:numPr>
          <w:ilvl w:val="0"/>
          <w:numId w:val="1"/>
        </w:numPr>
        <w:suppressAutoHyphens w:val="0"/>
        <w:ind w:firstLine="720"/>
        <w:contextualSpacing/>
        <w:jc w:val="both"/>
        <w:rPr>
          <w:rFonts w:eastAsia="Calibri"/>
          <w:sz w:val="28"/>
          <w:szCs w:val="28"/>
          <w:u w:val="single"/>
          <w:lang w:eastAsia="en-US"/>
        </w:rPr>
      </w:pPr>
      <w:r w:rsidRPr="00DC6A7A">
        <w:rPr>
          <w:rFonts w:eastAsia="Calibri"/>
          <w:sz w:val="28"/>
          <w:szCs w:val="28"/>
          <w:u w:val="single"/>
          <w:lang w:eastAsia="en-US"/>
        </w:rPr>
        <w:t>Применяйте общепринятый способ обозначений!</w:t>
      </w:r>
    </w:p>
    <w:p w:rsidR="00A74E48" w:rsidRPr="00DC6A7A" w:rsidRDefault="00A74E48" w:rsidP="00A74E48">
      <w:pPr>
        <w:widowControl w:val="0"/>
        <w:suppressAutoHyphens w:val="0"/>
        <w:autoSpaceDE w:val="0"/>
        <w:autoSpaceDN w:val="0"/>
        <w:spacing w:line="242" w:lineRule="auto"/>
        <w:ind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Обозначение должно указать на главную, сочиненную или подчиненную роль раздела. Каждое обозначение должно быть помещено в конспекте в виде ясного абзаца.</w:t>
      </w:r>
    </w:p>
    <w:p w:rsidR="00A74E48" w:rsidRPr="00DC6A7A" w:rsidRDefault="00A74E48" w:rsidP="00A74E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Различное значение разделов показано в следующем примере:</w:t>
      </w:r>
    </w:p>
    <w:p w:rsidR="00A74E48" w:rsidRPr="00F25C37" w:rsidRDefault="00A74E48" w:rsidP="00A74E48">
      <w:pPr>
        <w:suppressAutoHyphens w:val="0"/>
        <w:ind w:firstLine="720"/>
        <w:jc w:val="both"/>
        <w:rPr>
          <w:rFonts w:eastAsia="Calibri"/>
          <w:sz w:val="26"/>
          <w:szCs w:val="26"/>
          <w:lang w:val="en-US" w:eastAsia="en-US"/>
        </w:rPr>
      </w:pPr>
      <w:r w:rsidRPr="00DC6A7A">
        <w:rPr>
          <w:rFonts w:eastAsia="Calibri"/>
          <w:sz w:val="26"/>
          <w:szCs w:val="26"/>
          <w:lang w:val="en-US" w:eastAsia="en-US"/>
        </w:rPr>
        <w:t>I</w:t>
      </w:r>
      <w:r w:rsidRPr="00F25C37">
        <w:rPr>
          <w:rFonts w:eastAsia="Calibri"/>
          <w:sz w:val="26"/>
          <w:szCs w:val="26"/>
          <w:lang w:val="en-US" w:eastAsia="en-US"/>
        </w:rPr>
        <w:t>.</w:t>
      </w:r>
      <w:r w:rsidRPr="00F25C37">
        <w:rPr>
          <w:rFonts w:eastAsia="Calibri"/>
          <w:sz w:val="26"/>
          <w:szCs w:val="26"/>
          <w:lang w:val="en-US" w:eastAsia="en-US"/>
        </w:rPr>
        <w:tab/>
      </w:r>
    </w:p>
    <w:p w:rsidR="00A74E48" w:rsidRPr="00F25C37" w:rsidRDefault="00A74E48" w:rsidP="00A74E48">
      <w:pPr>
        <w:suppressAutoHyphens w:val="0"/>
        <w:ind w:firstLine="720"/>
        <w:jc w:val="both"/>
        <w:rPr>
          <w:rFonts w:eastAsia="Calibri"/>
          <w:sz w:val="26"/>
          <w:szCs w:val="26"/>
          <w:lang w:val="en-US" w:eastAsia="en-US"/>
        </w:rPr>
      </w:pPr>
      <w:r w:rsidRPr="00DC6A7A">
        <w:rPr>
          <w:rFonts w:eastAsia="Calibri"/>
          <w:sz w:val="26"/>
          <w:szCs w:val="26"/>
          <w:lang w:val="en-US" w:eastAsia="en-US"/>
        </w:rPr>
        <w:t>II</w:t>
      </w:r>
      <w:r w:rsidRPr="00F25C37">
        <w:rPr>
          <w:rFonts w:eastAsia="Calibri"/>
          <w:sz w:val="26"/>
          <w:szCs w:val="26"/>
          <w:lang w:val="en-US" w:eastAsia="en-US"/>
        </w:rPr>
        <w:t>.</w:t>
      </w:r>
    </w:p>
    <w:p w:rsidR="00A74E48" w:rsidRPr="00F25C37" w:rsidRDefault="00A74E48" w:rsidP="00A74E48">
      <w:pPr>
        <w:suppressAutoHyphens w:val="0"/>
        <w:ind w:firstLine="720"/>
        <w:jc w:val="both"/>
        <w:rPr>
          <w:rFonts w:eastAsia="Calibri"/>
          <w:sz w:val="26"/>
          <w:szCs w:val="26"/>
          <w:lang w:val="en-US" w:eastAsia="en-US"/>
        </w:rPr>
      </w:pPr>
      <w:r w:rsidRPr="00F25C37">
        <w:rPr>
          <w:rFonts w:eastAsia="Calibri"/>
          <w:sz w:val="26"/>
          <w:szCs w:val="26"/>
          <w:lang w:val="en-US" w:eastAsia="en-US"/>
        </w:rPr>
        <w:tab/>
        <w:t>1.</w:t>
      </w:r>
    </w:p>
    <w:p w:rsidR="00A74E48" w:rsidRPr="00F25C37" w:rsidRDefault="00A74E48" w:rsidP="00A74E48">
      <w:pPr>
        <w:suppressAutoHyphens w:val="0"/>
        <w:ind w:firstLine="720"/>
        <w:jc w:val="both"/>
        <w:rPr>
          <w:rFonts w:eastAsia="Calibri"/>
          <w:sz w:val="26"/>
          <w:szCs w:val="26"/>
          <w:lang w:val="en-US" w:eastAsia="en-US"/>
        </w:rPr>
      </w:pPr>
      <w:r w:rsidRPr="00F25C37">
        <w:rPr>
          <w:rFonts w:eastAsia="Calibri"/>
          <w:sz w:val="26"/>
          <w:szCs w:val="26"/>
          <w:lang w:val="en-US" w:eastAsia="en-US"/>
        </w:rPr>
        <w:tab/>
      </w:r>
      <w:r w:rsidRPr="00F25C37">
        <w:rPr>
          <w:rFonts w:eastAsia="Calibri"/>
          <w:sz w:val="26"/>
          <w:szCs w:val="26"/>
          <w:lang w:val="en-US" w:eastAsia="en-US"/>
        </w:rPr>
        <w:tab/>
      </w:r>
      <w:r w:rsidRPr="00DC6A7A">
        <w:rPr>
          <w:rFonts w:eastAsia="Calibri"/>
          <w:sz w:val="26"/>
          <w:szCs w:val="26"/>
          <w:lang w:eastAsia="en-US"/>
        </w:rPr>
        <w:t>а</w:t>
      </w:r>
      <w:r w:rsidRPr="00F25C37">
        <w:rPr>
          <w:rFonts w:eastAsia="Calibri"/>
          <w:sz w:val="26"/>
          <w:szCs w:val="26"/>
          <w:lang w:val="en-US" w:eastAsia="en-US"/>
        </w:rPr>
        <w:t>.</w:t>
      </w:r>
    </w:p>
    <w:p w:rsidR="00A74E48" w:rsidRPr="00F25C37" w:rsidRDefault="00A74E48" w:rsidP="00A74E48">
      <w:pPr>
        <w:suppressAutoHyphens w:val="0"/>
        <w:ind w:firstLine="720"/>
        <w:jc w:val="both"/>
        <w:rPr>
          <w:rFonts w:eastAsia="Calibri"/>
          <w:sz w:val="26"/>
          <w:szCs w:val="26"/>
          <w:lang w:val="en-US" w:eastAsia="en-US"/>
        </w:rPr>
      </w:pPr>
      <w:r w:rsidRPr="00F25C37">
        <w:rPr>
          <w:rFonts w:eastAsia="Calibri"/>
          <w:sz w:val="26"/>
          <w:szCs w:val="26"/>
          <w:lang w:val="en-US" w:eastAsia="en-US"/>
        </w:rPr>
        <w:tab/>
      </w:r>
      <w:r w:rsidRPr="00F25C37">
        <w:rPr>
          <w:rFonts w:eastAsia="Calibri"/>
          <w:sz w:val="26"/>
          <w:szCs w:val="26"/>
          <w:lang w:val="en-US" w:eastAsia="en-US"/>
        </w:rPr>
        <w:tab/>
      </w:r>
      <w:r w:rsidRPr="00DC6A7A">
        <w:rPr>
          <w:rFonts w:eastAsia="Calibri"/>
          <w:sz w:val="26"/>
          <w:szCs w:val="26"/>
          <w:lang w:eastAsia="en-US"/>
        </w:rPr>
        <w:t>б</w:t>
      </w:r>
      <w:r w:rsidRPr="00F25C37">
        <w:rPr>
          <w:rFonts w:eastAsia="Calibri"/>
          <w:sz w:val="26"/>
          <w:szCs w:val="26"/>
          <w:lang w:val="en-US" w:eastAsia="en-US"/>
        </w:rPr>
        <w:t>.</w:t>
      </w:r>
    </w:p>
    <w:p w:rsidR="00A74E48" w:rsidRPr="00F25C37" w:rsidRDefault="00A74E48" w:rsidP="00A74E48">
      <w:pPr>
        <w:suppressAutoHyphens w:val="0"/>
        <w:ind w:firstLine="720"/>
        <w:jc w:val="both"/>
        <w:rPr>
          <w:rFonts w:eastAsia="Calibri"/>
          <w:sz w:val="26"/>
          <w:szCs w:val="26"/>
          <w:lang w:val="en-US" w:eastAsia="en-US"/>
        </w:rPr>
      </w:pPr>
      <w:r w:rsidRPr="00F25C37">
        <w:rPr>
          <w:rFonts w:eastAsia="Calibri"/>
          <w:sz w:val="26"/>
          <w:szCs w:val="26"/>
          <w:lang w:val="en-US" w:eastAsia="en-US"/>
        </w:rPr>
        <w:tab/>
        <w:t>2.</w:t>
      </w:r>
    </w:p>
    <w:p w:rsidR="00A74E48" w:rsidRPr="00F25C37" w:rsidRDefault="00A74E48" w:rsidP="00A74E48">
      <w:pPr>
        <w:suppressAutoHyphens w:val="0"/>
        <w:ind w:firstLine="720"/>
        <w:jc w:val="both"/>
        <w:rPr>
          <w:rFonts w:eastAsia="Calibri"/>
          <w:sz w:val="26"/>
          <w:szCs w:val="26"/>
          <w:lang w:val="en-US" w:eastAsia="en-US"/>
        </w:rPr>
      </w:pPr>
      <w:r w:rsidRPr="00F25C37">
        <w:rPr>
          <w:rFonts w:eastAsia="Calibri"/>
          <w:sz w:val="26"/>
          <w:szCs w:val="26"/>
          <w:lang w:val="en-US" w:eastAsia="en-US"/>
        </w:rPr>
        <w:tab/>
      </w:r>
      <w:r w:rsidRPr="00F25C37">
        <w:rPr>
          <w:rFonts w:eastAsia="Calibri"/>
          <w:sz w:val="26"/>
          <w:szCs w:val="26"/>
          <w:lang w:val="en-US" w:eastAsia="en-US"/>
        </w:rPr>
        <w:tab/>
      </w:r>
      <w:r w:rsidRPr="00DC6A7A">
        <w:rPr>
          <w:rFonts w:eastAsia="Calibri"/>
          <w:sz w:val="26"/>
          <w:szCs w:val="26"/>
          <w:lang w:eastAsia="en-US"/>
        </w:rPr>
        <w:t>а</w:t>
      </w:r>
      <w:r w:rsidRPr="00F25C37">
        <w:rPr>
          <w:rFonts w:eastAsia="Calibri"/>
          <w:sz w:val="26"/>
          <w:szCs w:val="26"/>
          <w:lang w:val="en-US" w:eastAsia="en-US"/>
        </w:rPr>
        <w:t>.</w:t>
      </w:r>
    </w:p>
    <w:p w:rsidR="00A74E48" w:rsidRPr="00F25C37" w:rsidRDefault="00A74E48" w:rsidP="00A74E48">
      <w:pPr>
        <w:suppressAutoHyphens w:val="0"/>
        <w:ind w:firstLine="720"/>
        <w:jc w:val="both"/>
        <w:rPr>
          <w:rFonts w:eastAsia="Calibri"/>
          <w:sz w:val="26"/>
          <w:szCs w:val="26"/>
          <w:lang w:val="en-US" w:eastAsia="en-US"/>
        </w:rPr>
      </w:pPr>
      <w:r w:rsidRPr="00F25C37">
        <w:rPr>
          <w:rFonts w:eastAsia="Calibri"/>
          <w:sz w:val="26"/>
          <w:szCs w:val="26"/>
          <w:lang w:val="en-US" w:eastAsia="en-US"/>
        </w:rPr>
        <w:tab/>
      </w:r>
      <w:r w:rsidRPr="00F25C37">
        <w:rPr>
          <w:rFonts w:eastAsia="Calibri"/>
          <w:sz w:val="26"/>
          <w:szCs w:val="26"/>
          <w:lang w:val="en-US" w:eastAsia="en-US"/>
        </w:rPr>
        <w:tab/>
      </w:r>
      <w:r w:rsidRPr="00DC6A7A">
        <w:rPr>
          <w:rFonts w:eastAsia="Calibri"/>
          <w:sz w:val="26"/>
          <w:szCs w:val="26"/>
          <w:lang w:eastAsia="en-US"/>
        </w:rPr>
        <w:t>б</w:t>
      </w:r>
      <w:r w:rsidRPr="00F25C37">
        <w:rPr>
          <w:rFonts w:eastAsia="Calibri"/>
          <w:sz w:val="26"/>
          <w:szCs w:val="26"/>
          <w:lang w:val="en-US" w:eastAsia="en-US"/>
        </w:rPr>
        <w:t>.</w:t>
      </w:r>
    </w:p>
    <w:p w:rsidR="00A74E48" w:rsidRPr="00F25C37" w:rsidRDefault="00A74E48" w:rsidP="00A74E48">
      <w:pPr>
        <w:suppressAutoHyphens w:val="0"/>
        <w:ind w:firstLine="720"/>
        <w:jc w:val="both"/>
        <w:rPr>
          <w:rFonts w:eastAsia="Calibri"/>
          <w:sz w:val="26"/>
          <w:szCs w:val="26"/>
          <w:lang w:val="en-US" w:eastAsia="en-US"/>
        </w:rPr>
      </w:pPr>
      <w:r w:rsidRPr="00F25C37">
        <w:rPr>
          <w:rFonts w:eastAsia="Calibri"/>
          <w:sz w:val="26"/>
          <w:szCs w:val="26"/>
          <w:lang w:val="en-US" w:eastAsia="en-US"/>
        </w:rPr>
        <w:tab/>
      </w:r>
      <w:r w:rsidRPr="00F25C37">
        <w:rPr>
          <w:rFonts w:eastAsia="Calibri"/>
          <w:sz w:val="26"/>
          <w:szCs w:val="26"/>
          <w:lang w:val="en-US" w:eastAsia="en-US"/>
        </w:rPr>
        <w:tab/>
      </w:r>
      <w:r w:rsidRPr="00DC6A7A">
        <w:rPr>
          <w:rFonts w:eastAsia="Calibri"/>
          <w:sz w:val="26"/>
          <w:szCs w:val="26"/>
          <w:lang w:eastAsia="en-US"/>
        </w:rPr>
        <w:t>в</w:t>
      </w:r>
      <w:r w:rsidRPr="00F25C37">
        <w:rPr>
          <w:rFonts w:eastAsia="Calibri"/>
          <w:sz w:val="26"/>
          <w:szCs w:val="26"/>
          <w:lang w:val="en-US" w:eastAsia="en-US"/>
        </w:rPr>
        <w:t>.</w:t>
      </w:r>
    </w:p>
    <w:p w:rsidR="00A74E48" w:rsidRPr="00F25C37" w:rsidRDefault="00A74E48" w:rsidP="00A74E48">
      <w:pPr>
        <w:suppressAutoHyphens w:val="0"/>
        <w:ind w:firstLine="720"/>
        <w:jc w:val="both"/>
        <w:rPr>
          <w:rFonts w:eastAsia="Calibri"/>
          <w:sz w:val="26"/>
          <w:szCs w:val="26"/>
          <w:lang w:val="en-US" w:eastAsia="en-US"/>
        </w:rPr>
      </w:pPr>
    </w:p>
    <w:p w:rsidR="00A74E48" w:rsidRPr="00F25C37" w:rsidRDefault="00A74E48" w:rsidP="00A74E48">
      <w:pPr>
        <w:suppressAutoHyphens w:val="0"/>
        <w:ind w:firstLine="720"/>
        <w:jc w:val="both"/>
        <w:rPr>
          <w:rFonts w:eastAsia="Calibri"/>
          <w:sz w:val="26"/>
          <w:szCs w:val="26"/>
          <w:lang w:val="en-US" w:eastAsia="en-US"/>
        </w:rPr>
      </w:pPr>
      <w:r w:rsidRPr="00DC6A7A">
        <w:rPr>
          <w:rFonts w:eastAsia="Calibri"/>
          <w:sz w:val="26"/>
          <w:szCs w:val="26"/>
          <w:lang w:val="en-US" w:eastAsia="en-US"/>
        </w:rPr>
        <w:t>III</w:t>
      </w:r>
      <w:r w:rsidRPr="00F25C37">
        <w:rPr>
          <w:rFonts w:eastAsia="Calibri"/>
          <w:sz w:val="26"/>
          <w:szCs w:val="26"/>
          <w:lang w:val="en-US" w:eastAsia="en-US"/>
        </w:rPr>
        <w:t>.</w:t>
      </w:r>
    </w:p>
    <w:p w:rsidR="00A74E48" w:rsidRPr="00DC6A7A" w:rsidRDefault="00A74E48" w:rsidP="00A74E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Три главные части тезисного плана обычно указываются римскими цифрами. Для подтезисов первого уровня используется нумерация арабскими цифрами. Для подтезисов второго уровня – буквенные обозначения.</w:t>
      </w:r>
    </w:p>
    <w:p w:rsidR="00A74E48" w:rsidRPr="00DC6A7A" w:rsidRDefault="00A74E48" w:rsidP="00A74E48">
      <w:pPr>
        <w:numPr>
          <w:ilvl w:val="0"/>
          <w:numId w:val="1"/>
        </w:numPr>
        <w:suppressAutoHyphens w:val="0"/>
        <w:ind w:left="0" w:firstLine="720"/>
        <w:contextualSpacing/>
        <w:jc w:val="both"/>
        <w:rPr>
          <w:rFonts w:eastAsia="Calibri"/>
          <w:sz w:val="28"/>
          <w:szCs w:val="28"/>
          <w:u w:val="single"/>
          <w:lang w:eastAsia="en-US"/>
        </w:rPr>
      </w:pPr>
      <w:r w:rsidRPr="00DC6A7A">
        <w:rPr>
          <w:rFonts w:eastAsia="Calibri"/>
          <w:sz w:val="28"/>
          <w:szCs w:val="28"/>
          <w:u w:val="single"/>
          <w:lang w:eastAsia="en-US"/>
        </w:rPr>
        <w:t>Размещайте разделы в соответствии с их подлинным взаимоотношением!</w:t>
      </w:r>
    </w:p>
    <w:p w:rsidR="00A74E48" w:rsidRPr="00DC6A7A" w:rsidRDefault="00A74E48" w:rsidP="00A74E48">
      <w:pPr>
        <w:widowControl w:val="0"/>
        <w:suppressAutoHyphens w:val="0"/>
        <w:autoSpaceDE w:val="0"/>
        <w:autoSpaceDN w:val="0"/>
        <w:spacing w:before="1"/>
        <w:ind w:right="-49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Это самое важное и чаще всего нарушаемое правило конспектирования речи. Нельзя подчинить один пункт, по существу, другому, только механически поставив его в подчиненное положение. Хороший способ проверить правильность определения роли каждого пункта заключается в следующем. Посмотрите, подойдет или не подойдет подчинительный союз (потому что, поскольку, так как и т.д.) между одним пунктом и другим, поставленным в подчиненное положение, и подойдет ли сочинительный союз (и, но, или) между двумя равнозначными пунктами.</w:t>
      </w:r>
    </w:p>
    <w:p w:rsidR="00A74E48" w:rsidRPr="00DC6A7A" w:rsidRDefault="00A74E48" w:rsidP="00A74E48">
      <w:pPr>
        <w:widowControl w:val="0"/>
        <w:suppressAutoHyphens w:val="0"/>
        <w:autoSpaceDE w:val="0"/>
        <w:autoSpaceDN w:val="0"/>
        <w:ind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 xml:space="preserve">Если можно соединить одно утверждение с другим, поставленным в подчиненное положение, посредством слова </w:t>
      </w:r>
      <w:r w:rsidRPr="00DC6A7A">
        <w:rPr>
          <w:i/>
          <w:sz w:val="28"/>
          <w:szCs w:val="28"/>
          <w:lang w:eastAsia="en-US"/>
        </w:rPr>
        <w:t>поэтому</w:t>
      </w:r>
      <w:r w:rsidRPr="00DC6A7A">
        <w:rPr>
          <w:sz w:val="28"/>
          <w:szCs w:val="28"/>
          <w:lang w:eastAsia="en-US"/>
        </w:rPr>
        <w:t>, то, получается, они даны в обратном, неправильном порядке.</w:t>
      </w:r>
    </w:p>
    <w:p w:rsidR="00A74E48" w:rsidRPr="00DC6A7A" w:rsidRDefault="00A74E48" w:rsidP="00A74E48">
      <w:pPr>
        <w:widowControl w:val="0"/>
        <w:suppressAutoHyphens w:val="0"/>
        <w:autoSpaceDE w:val="0"/>
        <w:autoSpaceDN w:val="0"/>
        <w:ind w:left="118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Если размещение пунктов неправильно, то исправить его можно двумя способами: а) простым изменением их роли и последовательности или б) новой формулировкой одного или более пунктов, чтобы их соотношение стало правильным.</w:t>
      </w:r>
    </w:p>
    <w:p w:rsidR="00A74E48" w:rsidRPr="00DC6A7A" w:rsidRDefault="00A74E48" w:rsidP="00A74E48">
      <w:pPr>
        <w:widowControl w:val="0"/>
        <w:numPr>
          <w:ilvl w:val="0"/>
          <w:numId w:val="1"/>
        </w:numPr>
        <w:suppressAutoHyphens w:val="0"/>
        <w:autoSpaceDE w:val="0"/>
        <w:autoSpaceDN w:val="0"/>
        <w:ind w:left="0" w:firstLine="720"/>
        <w:jc w:val="both"/>
        <w:rPr>
          <w:sz w:val="28"/>
          <w:szCs w:val="28"/>
          <w:u w:val="single"/>
          <w:lang w:eastAsia="en-US"/>
        </w:rPr>
      </w:pPr>
      <w:r w:rsidRPr="00DC6A7A">
        <w:rPr>
          <w:sz w:val="28"/>
          <w:szCs w:val="28"/>
          <w:u w:val="single"/>
          <w:lang w:eastAsia="en-US"/>
        </w:rPr>
        <w:lastRenderedPageBreak/>
        <w:t>Пользуйтесь только одним обозначением перед каждым суждением и только одним суждением после каждым обозначения!</w:t>
      </w:r>
    </w:p>
    <w:p w:rsidR="00A74E48" w:rsidRPr="00DC6A7A" w:rsidRDefault="00A74E48" w:rsidP="00A74E48">
      <w:pPr>
        <w:widowControl w:val="0"/>
        <w:suppressAutoHyphens w:val="0"/>
        <w:autoSpaceDE w:val="0"/>
        <w:autoSpaceDN w:val="0"/>
        <w:spacing w:line="237" w:lineRule="auto"/>
        <w:ind w:right="-1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Ошибка, состоящая в применении двух обозначений, почти всегда указывает на какой-то пробел в мышлении оратора. Слушатель не всегда в состоянии его восполнить.</w:t>
      </w:r>
    </w:p>
    <w:p w:rsidR="00A74E48" w:rsidRPr="00DC6A7A" w:rsidRDefault="00A74E48" w:rsidP="00A74E48">
      <w:pPr>
        <w:widowControl w:val="0"/>
        <w:tabs>
          <w:tab w:val="left" w:pos="422"/>
        </w:tabs>
        <w:suppressAutoHyphens w:val="0"/>
        <w:autoSpaceDE w:val="0"/>
        <w:autoSpaceDN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ab/>
        <w:t>Ошибка, заключающаяся в применении более чем одного суждения при одном обозначении  – обычный результат поверхностной систематизации.</w:t>
      </w:r>
    </w:p>
    <w:p w:rsidR="00A74E48" w:rsidRPr="00DC6A7A" w:rsidRDefault="00A74E48" w:rsidP="00A74E48">
      <w:pPr>
        <w:widowControl w:val="0"/>
        <w:tabs>
          <w:tab w:val="left" w:pos="1247"/>
          <w:tab w:val="left" w:pos="3056"/>
          <w:tab w:val="left" w:pos="4194"/>
        </w:tabs>
        <w:suppressAutoHyphens w:val="0"/>
        <w:autoSpaceDE w:val="0"/>
        <w:autoSpaceDN w:val="0"/>
        <w:ind w:left="119" w:right="176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 xml:space="preserve">6. </w:t>
      </w:r>
      <w:r w:rsidRPr="00DC6A7A">
        <w:rPr>
          <w:sz w:val="28"/>
          <w:szCs w:val="28"/>
          <w:u w:val="single"/>
          <w:lang w:eastAsia="en-US"/>
        </w:rPr>
        <w:t>Тезис должен быть достаточно подкреплен вспомогательным пунктами, расположенными под ним.</w:t>
      </w:r>
    </w:p>
    <w:p w:rsidR="00A74E48" w:rsidRPr="00DC6A7A" w:rsidRDefault="00A74E48" w:rsidP="00A74E48">
      <w:pPr>
        <w:widowControl w:val="0"/>
        <w:suppressAutoHyphens w:val="0"/>
        <w:autoSpaceDE w:val="0"/>
        <w:autoSpaceDN w:val="0"/>
        <w:ind w:left="119" w:right="-1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Это правило относится к взаимоотношению тезисов и конкретной задачи. Если подтезисов для речи, не преследующей агитационной цели, достаточно, то, значит, достаточно материала, который вызывает интерес и вносит в вопрос должную ясность. В речи агитационного характера это означает, что подтезисов достаточно, чтобы склонить слушателя к тому или иному убеждению.</w:t>
      </w:r>
    </w:p>
    <w:p w:rsidR="00A74E48" w:rsidRPr="00DC6A7A" w:rsidRDefault="00A74E48" w:rsidP="00A74E48">
      <w:pPr>
        <w:widowControl w:val="0"/>
        <w:tabs>
          <w:tab w:val="left" w:pos="1247"/>
          <w:tab w:val="left" w:pos="3056"/>
          <w:tab w:val="left" w:pos="4194"/>
        </w:tabs>
        <w:suppressAutoHyphens w:val="0"/>
        <w:autoSpaceDE w:val="0"/>
        <w:autoSpaceDN w:val="0"/>
        <w:ind w:firstLine="720"/>
        <w:rPr>
          <w:sz w:val="28"/>
          <w:szCs w:val="28"/>
          <w:u w:val="single"/>
          <w:lang w:eastAsia="en-US"/>
        </w:rPr>
      </w:pPr>
      <w:r w:rsidRPr="00DC6A7A">
        <w:rPr>
          <w:sz w:val="28"/>
          <w:szCs w:val="28"/>
          <w:lang w:eastAsia="en-US"/>
        </w:rPr>
        <w:t xml:space="preserve">7. </w:t>
      </w:r>
      <w:r w:rsidRPr="00DC6A7A">
        <w:rPr>
          <w:sz w:val="28"/>
          <w:szCs w:val="28"/>
          <w:u w:val="single"/>
          <w:lang w:eastAsia="en-US"/>
        </w:rPr>
        <w:t>Избегайте суждений сложных и с разным содержанием!</w:t>
      </w:r>
    </w:p>
    <w:p w:rsidR="00A74E48" w:rsidRPr="00DC6A7A" w:rsidRDefault="00A74E48" w:rsidP="00A74E48">
      <w:pPr>
        <w:widowControl w:val="0"/>
        <w:tabs>
          <w:tab w:val="left" w:pos="1247"/>
          <w:tab w:val="left" w:pos="3056"/>
          <w:tab w:val="left" w:pos="4194"/>
        </w:tabs>
        <w:suppressAutoHyphens w:val="0"/>
        <w:autoSpaceDE w:val="0"/>
        <w:autoSpaceDN w:val="0"/>
        <w:ind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В одном пункте тезисного плана не должно быть суждения, состоящего из сложного предложения с сочинительной или подчинительной связью, т.е. под одним пунктом нельзя объединять несколько равноправных (с точки зрения их взаимоотношений) мыслей или несколько мыслей, одна из которых является обоснованием другой.</w:t>
      </w:r>
    </w:p>
    <w:p w:rsidR="00A74E48" w:rsidRPr="00DC6A7A" w:rsidRDefault="00A74E48" w:rsidP="00A74E48">
      <w:pPr>
        <w:widowControl w:val="0"/>
        <w:tabs>
          <w:tab w:val="left" w:pos="1247"/>
          <w:tab w:val="left" w:pos="3056"/>
          <w:tab w:val="left" w:pos="4194"/>
        </w:tabs>
        <w:suppressAutoHyphens w:val="0"/>
        <w:autoSpaceDE w:val="0"/>
        <w:autoSpaceDN w:val="0"/>
        <w:ind w:left="119" w:right="176" w:firstLine="720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 xml:space="preserve">8. </w:t>
      </w:r>
      <w:r w:rsidRPr="00DC6A7A">
        <w:rPr>
          <w:sz w:val="28"/>
          <w:szCs w:val="28"/>
          <w:u w:val="single"/>
          <w:lang w:eastAsia="en-US"/>
        </w:rPr>
        <w:t>Избегайте частичного совпадения разделов и их несовместимости!</w:t>
      </w:r>
    </w:p>
    <w:p w:rsidR="00A74E48" w:rsidRPr="00DC6A7A" w:rsidRDefault="00A74E48" w:rsidP="00A74E48">
      <w:pPr>
        <w:widowControl w:val="0"/>
        <w:tabs>
          <w:tab w:val="left" w:pos="1247"/>
          <w:tab w:val="left" w:pos="3056"/>
          <w:tab w:val="left" w:pos="4194"/>
        </w:tabs>
        <w:suppressAutoHyphens w:val="0"/>
        <w:autoSpaceDE w:val="0"/>
        <w:autoSpaceDN w:val="0"/>
        <w:ind w:right="176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Между равнозначными пунктами не должно быть совпадений, даже частичных. Один или несколько из равнозначных пунктов не могут быть следствием других. Если такое наблюдается при составлении тезисного плана, это свидетельствует о несоблюдении иерархии взаимоотношений между подпунктами тезисного плана (см. п. 4).</w:t>
      </w:r>
    </w:p>
    <w:p w:rsidR="00A74E48" w:rsidRPr="00DC6A7A" w:rsidRDefault="00A74E48" w:rsidP="00A74E48">
      <w:pPr>
        <w:widowControl w:val="0"/>
        <w:tabs>
          <w:tab w:val="left" w:pos="1247"/>
          <w:tab w:val="left" w:pos="3056"/>
          <w:tab w:val="left" w:pos="4194"/>
        </w:tabs>
        <w:suppressAutoHyphens w:val="0"/>
        <w:autoSpaceDE w:val="0"/>
        <w:autoSpaceDN w:val="0"/>
        <w:ind w:right="176" w:firstLine="720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 xml:space="preserve">9. </w:t>
      </w:r>
      <w:r w:rsidRPr="00DC6A7A">
        <w:rPr>
          <w:sz w:val="28"/>
          <w:szCs w:val="28"/>
          <w:u w:val="single"/>
          <w:lang w:eastAsia="en-US"/>
        </w:rPr>
        <w:t>Пользуйтесь утверждениями, избегайте вопросов!</w:t>
      </w:r>
    </w:p>
    <w:p w:rsidR="00A74E48" w:rsidRPr="00DC6A7A" w:rsidRDefault="00A74E48" w:rsidP="00A74E48">
      <w:pPr>
        <w:widowControl w:val="0"/>
        <w:suppressAutoHyphens w:val="0"/>
        <w:autoSpaceDE w:val="0"/>
        <w:autoSpaceDN w:val="0"/>
        <w:ind w:right="174" w:firstLine="720"/>
        <w:jc w:val="both"/>
        <w:rPr>
          <w:sz w:val="28"/>
          <w:szCs w:val="28"/>
          <w:lang w:eastAsia="en-US"/>
        </w:rPr>
      </w:pPr>
      <w:r w:rsidRPr="00DC6A7A">
        <w:rPr>
          <w:sz w:val="28"/>
          <w:szCs w:val="28"/>
          <w:lang w:eastAsia="en-US"/>
        </w:rPr>
        <w:t>Главная слабость вопросительных формулировок в тезисном плане заключается в том, что они не указывают на свое отношение к главному и подчиненному тезисам. С одной стороны, сам по себе вопрос – не тезис, подлежащий доказыванию, поскольку в нем ничего не утверждается. А с другой – он не может служить опорой для главного тезиса, так как не содержит определенной констатации. Вопрос – это вступительный шаг, если начать речь надо только с него. Вопросы бывают весьма целесообразны при переходах от одного к другому по мере развития речи. Но тезисный план – логическая конструкция и должен содержать не вопросы, а ответы.</w:t>
      </w:r>
    </w:p>
    <w:p w:rsidR="00A74E48" w:rsidRPr="00DC6A7A" w:rsidRDefault="00A74E48" w:rsidP="00A74E48">
      <w:pPr>
        <w:widowControl w:val="0"/>
        <w:suppressAutoHyphens w:val="0"/>
        <w:autoSpaceDE w:val="0"/>
        <w:autoSpaceDN w:val="0"/>
        <w:ind w:right="174" w:firstLine="720"/>
        <w:rPr>
          <w:lang w:eastAsia="en-US"/>
        </w:rPr>
      </w:pPr>
    </w:p>
    <w:p w:rsidR="00A74E48" w:rsidRPr="00DC6A7A" w:rsidRDefault="00A74E48" w:rsidP="00A74E48">
      <w:pPr>
        <w:suppressAutoHyphens w:val="0"/>
        <w:ind w:firstLine="720"/>
        <w:jc w:val="center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Контрольные вопросы</w:t>
      </w:r>
    </w:p>
    <w:p w:rsidR="00A74E48" w:rsidRPr="00DC6A7A" w:rsidRDefault="00A74E48" w:rsidP="00A74E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1. В чем суть процесса деления тезиса?</w:t>
      </w:r>
    </w:p>
    <w:p w:rsidR="00A74E48" w:rsidRPr="00DC6A7A" w:rsidRDefault="00A74E48" w:rsidP="00A74E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2. Какие суждения называют подтезисами первого уровня, подтезисами второго уровня?</w:t>
      </w:r>
    </w:p>
    <w:p w:rsidR="00A74E48" w:rsidRPr="00DC6A7A" w:rsidRDefault="00A74E48" w:rsidP="00A74E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3. Каких правил следует придерживаться при составлении тезисного плана?</w:t>
      </w:r>
    </w:p>
    <w:p w:rsidR="00A74E48" w:rsidRPr="00DC6A7A" w:rsidRDefault="00A74E48" w:rsidP="00A74E48">
      <w:pPr>
        <w:suppressAutoHyphens w:val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A74E48" w:rsidRPr="00DC6A7A" w:rsidRDefault="00A74E48" w:rsidP="00A74E48">
      <w:pPr>
        <w:suppressAutoHyphens w:val="0"/>
        <w:ind w:firstLine="709"/>
        <w:jc w:val="center"/>
        <w:rPr>
          <w:rFonts w:eastAsia="Calibri"/>
          <w:i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Задания</w:t>
      </w:r>
    </w:p>
    <w:p w:rsidR="00A74E48" w:rsidRPr="00DC6A7A" w:rsidRDefault="00A74E48" w:rsidP="00A74E48">
      <w:pPr>
        <w:suppressAutoHyphens w:val="0"/>
        <w:ind w:firstLine="709"/>
        <w:jc w:val="center"/>
        <w:rPr>
          <w:rFonts w:eastAsia="Calibri"/>
          <w:i/>
          <w:sz w:val="28"/>
          <w:szCs w:val="28"/>
          <w:lang w:eastAsia="en-US"/>
        </w:rPr>
      </w:pPr>
    </w:p>
    <w:p w:rsidR="00A74E48" w:rsidRPr="00DC6A7A" w:rsidRDefault="00A74E48" w:rsidP="00A74E48">
      <w:pPr>
        <w:ind w:firstLine="720"/>
        <w:jc w:val="both"/>
        <w:rPr>
          <w:rFonts w:eastAsia="Calibri"/>
          <w:i/>
          <w:sz w:val="28"/>
          <w:szCs w:val="28"/>
        </w:rPr>
      </w:pPr>
      <w:r w:rsidRPr="00DC6A7A">
        <w:rPr>
          <w:rFonts w:eastAsia="Calibri"/>
          <w:i/>
          <w:sz w:val="28"/>
          <w:szCs w:val="28"/>
        </w:rPr>
        <w:t>Задание 6.1.</w:t>
      </w:r>
      <w:r w:rsidRPr="00DC6A7A">
        <w:rPr>
          <w:rFonts w:eastAsia="Calibri"/>
          <w:sz w:val="28"/>
          <w:szCs w:val="28"/>
        </w:rPr>
        <w:t xml:space="preserve"> </w:t>
      </w:r>
      <w:r w:rsidRPr="00DC6A7A">
        <w:rPr>
          <w:rFonts w:eastAsia="Calibri"/>
          <w:i/>
          <w:sz w:val="28"/>
          <w:szCs w:val="28"/>
        </w:rPr>
        <w:t>Определите, какие правила составления тезисного плана нарушены в следующих  примерах? Исправьте ошибки.</w:t>
      </w:r>
    </w:p>
    <w:p w:rsidR="00A74E48" w:rsidRPr="00DC6A7A" w:rsidRDefault="00A74E48" w:rsidP="00A74E48">
      <w:pPr>
        <w:ind w:firstLine="709"/>
        <w:jc w:val="both"/>
        <w:rPr>
          <w:rFonts w:eastAsia="Calibri"/>
          <w:i/>
          <w:sz w:val="28"/>
          <w:szCs w:val="28"/>
        </w:rPr>
      </w:pPr>
    </w:p>
    <w:p w:rsidR="00A74E48" w:rsidRPr="00DC6A7A" w:rsidRDefault="00A74E48" w:rsidP="00A74E48">
      <w:pPr>
        <w:pStyle w:val="a3"/>
        <w:numPr>
          <w:ilvl w:val="0"/>
          <w:numId w:val="2"/>
        </w:numPr>
        <w:suppressAutoHyphens w:val="0"/>
        <w:ind w:left="1134" w:hanging="425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Мы бы предпочли учиться в первую смену.</w:t>
      </w:r>
    </w:p>
    <w:p w:rsidR="00A74E48" w:rsidRPr="00DC6A7A" w:rsidRDefault="00A74E48" w:rsidP="00A74E48">
      <w:pPr>
        <w:pStyle w:val="a3"/>
        <w:numPr>
          <w:ilvl w:val="0"/>
          <w:numId w:val="2"/>
        </w:numPr>
        <w:suppressAutoHyphens w:val="0"/>
        <w:ind w:left="1134" w:hanging="425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Обучение в первую смену привычный для нас режим после школьных одиннадцати лет.</w:t>
      </w:r>
    </w:p>
    <w:p w:rsidR="00A74E48" w:rsidRPr="00DC6A7A" w:rsidRDefault="00A74E48" w:rsidP="00A74E48">
      <w:pPr>
        <w:pStyle w:val="a3"/>
        <w:numPr>
          <w:ilvl w:val="0"/>
          <w:numId w:val="3"/>
        </w:numPr>
        <w:suppressAutoHyphens w:val="0"/>
        <w:ind w:left="1418" w:firstLine="283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Привычка рано вставать пригодится в будущем для взрослой жизни.</w:t>
      </w:r>
    </w:p>
    <w:p w:rsidR="00A74E48" w:rsidRPr="00DC6A7A" w:rsidRDefault="00A74E48" w:rsidP="00A74E48">
      <w:pPr>
        <w:jc w:val="both"/>
        <w:rPr>
          <w:rFonts w:eastAsia="Calibri"/>
          <w:sz w:val="28"/>
          <w:szCs w:val="28"/>
        </w:rPr>
      </w:pPr>
    </w:p>
    <w:p w:rsidR="00A74E48" w:rsidRPr="00DC6A7A" w:rsidRDefault="00A74E48" w:rsidP="00A74E48">
      <w:pPr>
        <w:jc w:val="both"/>
        <w:rPr>
          <w:rFonts w:eastAsia="Calibri"/>
          <w:sz w:val="28"/>
          <w:szCs w:val="28"/>
        </w:rPr>
      </w:pPr>
    </w:p>
    <w:p w:rsidR="00A74E48" w:rsidRPr="00DC6A7A" w:rsidRDefault="00A74E48" w:rsidP="00A74E48">
      <w:pPr>
        <w:pStyle w:val="a3"/>
        <w:numPr>
          <w:ilvl w:val="0"/>
          <w:numId w:val="4"/>
        </w:numPr>
        <w:suppressAutoHyphens w:val="0"/>
        <w:ind w:left="993" w:hanging="283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При обучении в первую смену вторая половина дня остается свободной.</w:t>
      </w:r>
    </w:p>
    <w:p w:rsidR="00A74E48" w:rsidRPr="00DC6A7A" w:rsidRDefault="00A74E48" w:rsidP="00A74E48">
      <w:pPr>
        <w:pStyle w:val="a3"/>
        <w:numPr>
          <w:ilvl w:val="0"/>
          <w:numId w:val="5"/>
        </w:numPr>
        <w:suppressAutoHyphens w:val="0"/>
        <w:ind w:left="1418" w:firstLine="283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При таком распорядке дня есть время на личные дела.</w:t>
      </w:r>
    </w:p>
    <w:p w:rsidR="00A74E48" w:rsidRPr="00DC6A7A" w:rsidRDefault="00A74E48" w:rsidP="00A74E48">
      <w:pPr>
        <w:jc w:val="both"/>
        <w:rPr>
          <w:rFonts w:eastAsia="Calibri"/>
          <w:sz w:val="28"/>
          <w:szCs w:val="28"/>
        </w:rPr>
      </w:pPr>
    </w:p>
    <w:p w:rsidR="00A74E48" w:rsidRPr="00DC6A7A" w:rsidRDefault="00A74E48" w:rsidP="00A74E48">
      <w:pPr>
        <w:jc w:val="both"/>
        <w:rPr>
          <w:rFonts w:eastAsia="Calibri"/>
          <w:sz w:val="28"/>
          <w:szCs w:val="28"/>
        </w:rPr>
      </w:pPr>
    </w:p>
    <w:p w:rsidR="00A74E48" w:rsidRPr="00DC6A7A" w:rsidRDefault="00A74E48" w:rsidP="00A74E48">
      <w:pPr>
        <w:pStyle w:val="a3"/>
        <w:numPr>
          <w:ilvl w:val="0"/>
          <w:numId w:val="6"/>
        </w:numPr>
        <w:suppressAutoHyphens w:val="0"/>
        <w:ind w:hanging="371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1. Обучение в первую смену позволяет не бросать любимое занятие.</w:t>
      </w:r>
    </w:p>
    <w:p w:rsidR="00A74E48" w:rsidRPr="00DC6A7A" w:rsidRDefault="00A74E48" w:rsidP="00A74E48">
      <w:pPr>
        <w:pStyle w:val="a3"/>
        <w:numPr>
          <w:ilvl w:val="0"/>
          <w:numId w:val="5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Такой режим оставляет время на подработку.</w:t>
      </w:r>
    </w:p>
    <w:p w:rsidR="00A74E48" w:rsidRPr="00DC6A7A" w:rsidRDefault="00A74E48" w:rsidP="00A74E48">
      <w:pPr>
        <w:pStyle w:val="a3"/>
        <w:numPr>
          <w:ilvl w:val="0"/>
          <w:numId w:val="5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а) ходить в кино;</w:t>
      </w:r>
    </w:p>
    <w:p w:rsidR="00A74E48" w:rsidRPr="00DC6A7A" w:rsidRDefault="00A74E48" w:rsidP="00A74E48">
      <w:pPr>
        <w:pStyle w:val="a3"/>
        <w:ind w:left="144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б) встречаться с друзьями.</w:t>
      </w:r>
    </w:p>
    <w:p w:rsidR="00A74E48" w:rsidRPr="00DC6A7A" w:rsidRDefault="00A74E48" w:rsidP="00A74E48">
      <w:pPr>
        <w:jc w:val="both"/>
        <w:rPr>
          <w:rFonts w:eastAsia="Calibri"/>
          <w:sz w:val="28"/>
          <w:szCs w:val="28"/>
        </w:rPr>
      </w:pPr>
    </w:p>
    <w:p w:rsidR="00A74E48" w:rsidRPr="00DC6A7A" w:rsidRDefault="00A74E48" w:rsidP="00A74E48">
      <w:pPr>
        <w:jc w:val="both"/>
        <w:rPr>
          <w:rFonts w:eastAsia="Calibri"/>
          <w:sz w:val="28"/>
          <w:szCs w:val="28"/>
        </w:rPr>
      </w:pPr>
    </w:p>
    <w:p w:rsidR="00A74E48" w:rsidRPr="00DC6A7A" w:rsidRDefault="00A74E48" w:rsidP="00A74E48">
      <w:pPr>
        <w:pStyle w:val="a3"/>
        <w:numPr>
          <w:ilvl w:val="0"/>
          <w:numId w:val="7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В нашем университете обучение проводится в две смены, и большинство факультетов учатся в первую смену</w:t>
      </w:r>
    </w:p>
    <w:p w:rsidR="00A74E48" w:rsidRPr="00DC6A7A" w:rsidRDefault="00A74E48" w:rsidP="00A74E48">
      <w:pPr>
        <w:jc w:val="both"/>
        <w:rPr>
          <w:rFonts w:eastAsia="Calibri"/>
          <w:sz w:val="28"/>
          <w:szCs w:val="28"/>
        </w:rPr>
      </w:pPr>
    </w:p>
    <w:p w:rsidR="00A74E48" w:rsidRPr="00DC6A7A" w:rsidRDefault="00A74E48" w:rsidP="00A74E48">
      <w:pPr>
        <w:jc w:val="both"/>
        <w:rPr>
          <w:rFonts w:eastAsia="Calibri"/>
          <w:sz w:val="28"/>
          <w:szCs w:val="28"/>
        </w:rPr>
      </w:pPr>
    </w:p>
    <w:p w:rsidR="00A74E48" w:rsidRPr="00DC6A7A" w:rsidRDefault="00A74E48" w:rsidP="00A74E48">
      <w:pPr>
        <w:pStyle w:val="a3"/>
        <w:numPr>
          <w:ilvl w:val="0"/>
          <w:numId w:val="8"/>
        </w:numPr>
        <w:suppressAutoHyphens w:val="0"/>
        <w:ind w:hanging="371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Мне не нравится учиться во вторую смену</w:t>
      </w:r>
    </w:p>
    <w:p w:rsidR="00A74E48" w:rsidRPr="00DC6A7A" w:rsidRDefault="00A74E48" w:rsidP="00A74E48">
      <w:pPr>
        <w:pStyle w:val="a3"/>
        <w:numPr>
          <w:ilvl w:val="0"/>
          <w:numId w:val="9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Не остается дневного времени на выполнение д.з.</w:t>
      </w:r>
    </w:p>
    <w:p w:rsidR="00A74E48" w:rsidRPr="00DC6A7A" w:rsidRDefault="00A74E48" w:rsidP="00A74E48">
      <w:pPr>
        <w:pStyle w:val="a3"/>
        <w:numPr>
          <w:ilvl w:val="0"/>
          <w:numId w:val="9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Нет возможности встречаться днем с друзьями.</w:t>
      </w:r>
    </w:p>
    <w:p w:rsidR="00A74E48" w:rsidRPr="00DC6A7A" w:rsidRDefault="00A74E48" w:rsidP="00A74E48">
      <w:pPr>
        <w:pStyle w:val="a3"/>
        <w:numPr>
          <w:ilvl w:val="0"/>
          <w:numId w:val="9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Вынужден бросить проводимые во второй половине дня занятия танцами.</w:t>
      </w:r>
    </w:p>
    <w:p w:rsidR="00A74E48" w:rsidRPr="00DC6A7A" w:rsidRDefault="00A74E48" w:rsidP="00A74E48">
      <w:pPr>
        <w:pStyle w:val="a3"/>
        <w:numPr>
          <w:ilvl w:val="0"/>
          <w:numId w:val="9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Невозможно найти дневную очную подработку.</w:t>
      </w:r>
    </w:p>
    <w:p w:rsidR="00A74E48" w:rsidRPr="00DC6A7A" w:rsidRDefault="00A74E48" w:rsidP="00A74E48">
      <w:pPr>
        <w:pStyle w:val="a3"/>
        <w:numPr>
          <w:ilvl w:val="0"/>
          <w:numId w:val="9"/>
        </w:numPr>
        <w:suppressAutoHyphens w:val="0"/>
        <w:jc w:val="both"/>
        <w:rPr>
          <w:rFonts w:eastAsia="Calibri"/>
          <w:sz w:val="28"/>
          <w:szCs w:val="28"/>
        </w:rPr>
      </w:pPr>
      <w:r w:rsidRPr="00DC6A7A">
        <w:rPr>
          <w:rFonts w:eastAsia="Calibri"/>
          <w:sz w:val="28"/>
          <w:szCs w:val="28"/>
        </w:rPr>
        <w:t>Такой распорядок портит всю жизнь.</w:t>
      </w:r>
    </w:p>
    <w:p w:rsidR="00F0214E" w:rsidRDefault="00F0214E"/>
    <w:p w:rsidR="00A74E48" w:rsidRPr="00DC6A7A" w:rsidRDefault="00A74E48" w:rsidP="00A74E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Задание 6.5. Познакомьтесь с особенностями жанра «Оправдание» (приводится по Анисимова Т.В., Гимпельсон Е.Г. «Современная деловая риторика», 1998). Приведите примеры ситуаций педагогического общения, в которых может использоваться этот жанр</w:t>
      </w:r>
      <w:r w:rsidRPr="00DC6A7A">
        <w:rPr>
          <w:rFonts w:eastAsia="Calibri"/>
          <w:sz w:val="28"/>
          <w:szCs w:val="28"/>
          <w:lang w:eastAsia="en-US"/>
        </w:rPr>
        <w:t>.</w:t>
      </w:r>
    </w:p>
    <w:p w:rsidR="00A74E48" w:rsidRPr="00DC6A7A" w:rsidRDefault="00A74E48" w:rsidP="00A74E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</w:p>
    <w:p w:rsidR="00A74E48" w:rsidRPr="00DC6A7A" w:rsidRDefault="00A74E48" w:rsidP="00A74E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Оправдательная речь – это выступление, содержащее опровержение выдвинутых против человека (людей, организации и т.п.) обвинений. Задача этого жанра – разбить, опровергнуть доводы нападающей стороны, показать </w:t>
      </w:r>
      <w:r w:rsidRPr="00DC6A7A">
        <w:rPr>
          <w:rFonts w:eastAsia="Calibri"/>
          <w:sz w:val="28"/>
          <w:szCs w:val="28"/>
          <w:lang w:eastAsia="en-US"/>
        </w:rPr>
        <w:lastRenderedPageBreak/>
        <w:t>невиновность обвиняемых. Поэтому оправдательная речь возможна только в том случае, когда имеются сформулированные в чей-либо адрес обвинения.</w:t>
      </w:r>
    </w:p>
    <w:p w:rsidR="00A74E48" w:rsidRPr="00DC6A7A" w:rsidRDefault="00A74E48" w:rsidP="00A74E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Оправдательные речи – не обязательно элементы судебной практики. Этот жанр активно используются и в различных ситуациях официального общения, в том числе педагогического, а также в неофициальной межличностной коммуникации. При характеристике этого жанра большое значение имеет указание на характер аудитории, на критический настрой слушателей по отношению к предмету оправдания. В аргументации оправдания логическая сторона убеждения, как правило, выходит на первый план и должна быть понятна слушателям. </w:t>
      </w:r>
    </w:p>
    <w:p w:rsidR="00A74E48" w:rsidRPr="00DC6A7A" w:rsidRDefault="00A74E48" w:rsidP="00A74E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К таким обязательным микротемам относятся:</w:t>
      </w:r>
    </w:p>
    <w:p w:rsidR="00A74E48" w:rsidRPr="00DC6A7A" w:rsidRDefault="00A74E48" w:rsidP="00A74E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1) Изложение обстоятельств дела – информационная часть, в которой собранию рассказывают о произошедшем событии, послужившим причиной обратиться к оправданию. Изложение фабулы может сопровождаться комментариями и оценками, но все-таки основное внимание здесь должно быть уделено тому, чтобы аудитория точно уяснила себе, что же именно произошло. </w:t>
      </w:r>
    </w:p>
    <w:p w:rsidR="00A74E48" w:rsidRPr="00DC6A7A" w:rsidRDefault="00A74E48" w:rsidP="00A74E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2) Анализ обстоятельств дела. Это наиболее важная часть речи, где оратор предлагает свою трактовку события, обосновывая ее как логическими, так и риторическими аргументами. Часто она неотделима от предыдущей части, фрагменты одной и другой чередуются (особенно если изложение обстоятельств пространно), но могут выступать и по отдельности. </w:t>
      </w:r>
    </w:p>
    <w:p w:rsidR="00A74E48" w:rsidRPr="00DC6A7A" w:rsidRDefault="00A74E48" w:rsidP="00A74E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3) Оценка людей и событий. Здесь оратор обращается к нравственным и этическим оценкам поступка. Это наиболее эмоциональная часть, где говорящий пытается привлечь слушателей на свою строну, повлиять на их решение. </w:t>
      </w:r>
    </w:p>
    <w:p w:rsidR="00A74E48" w:rsidRPr="00DC6A7A" w:rsidRDefault="00A74E48" w:rsidP="00A74E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4) Заключение речи обязательно должно содержать указания оратора на то, что он считает оправдание справедливым и сопровождаться перечислением оснований.</w:t>
      </w:r>
    </w:p>
    <w:p w:rsidR="00A74E48" w:rsidRPr="00DC6A7A" w:rsidRDefault="00A74E48" w:rsidP="00A74E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Таким образом, в оправдательной речи должно быть точно сформулировано, в чем именно и на каком основании обвиняют человека; конкретно определено, о чем приходится спорить с противоположной стороной; твердо и отчетливо установлены все нужные факты и дана им соответствующая оценка; сформулирована и обоснована аргументация оправдания. </w:t>
      </w:r>
    </w:p>
    <w:p w:rsidR="00A74E48" w:rsidRPr="00DC6A7A" w:rsidRDefault="00A74E48" w:rsidP="00A74E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</w:p>
    <w:p w:rsidR="00A74E48" w:rsidRPr="00DC6A7A" w:rsidRDefault="00A74E48" w:rsidP="00A74E48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Задание 6.6. Составьте тезисный план речи-оправдания реальной известной личности (политика, писателя, актера, музыканта и т.п.) или вымышленного персонажа (героя литературного произведения, фольклора, кинофильма и т.п.). Выбирая тему речи-оправдания, помните о том, что убедить другого человека удастся только при наличии внутренней убежденности говорящего в истинности своей идеи. Подготовьте данную речь для критически настроенной аудитории</w:t>
      </w:r>
      <w:r w:rsidRPr="00DC6A7A">
        <w:rPr>
          <w:rFonts w:eastAsia="Calibri"/>
          <w:sz w:val="28"/>
          <w:szCs w:val="28"/>
          <w:lang w:eastAsia="en-US"/>
        </w:rPr>
        <w:t xml:space="preserve">, </w:t>
      </w:r>
      <w:r w:rsidRPr="00DC6A7A">
        <w:rPr>
          <w:rFonts w:eastAsia="Calibri"/>
          <w:i/>
          <w:sz w:val="28"/>
          <w:szCs w:val="28"/>
          <w:lang w:eastAsia="en-US"/>
        </w:rPr>
        <w:t>при этом не записывайте речь целиком, постарайтесь говорить, используя только тезисный план речи.</w:t>
      </w:r>
      <w:r w:rsidRPr="00DC6A7A">
        <w:rPr>
          <w:rFonts w:eastAsia="Calibri"/>
          <w:sz w:val="28"/>
          <w:szCs w:val="28"/>
          <w:lang w:eastAsia="en-US"/>
        </w:rPr>
        <w:t xml:space="preserve"> </w:t>
      </w:r>
    </w:p>
    <w:p w:rsidR="00A74E48" w:rsidRPr="00DC6A7A" w:rsidRDefault="00A74E48" w:rsidP="00A74E48">
      <w:pPr>
        <w:ind w:firstLine="720"/>
        <w:jc w:val="both"/>
        <w:rPr>
          <w:i/>
        </w:rPr>
      </w:pPr>
    </w:p>
    <w:p w:rsidR="00A74E48" w:rsidRDefault="00A74E48">
      <w:bookmarkStart w:id="0" w:name="_GoBack"/>
      <w:bookmarkEnd w:id="0"/>
    </w:p>
    <w:sectPr w:rsidR="00A74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C1BA1"/>
    <w:multiLevelType w:val="hybridMultilevel"/>
    <w:tmpl w:val="1E3EA3F4"/>
    <w:lvl w:ilvl="0" w:tplc="F88CAE08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" w15:restartNumberingAfterBreak="0">
    <w:nsid w:val="187E5E76"/>
    <w:multiLevelType w:val="hybridMultilevel"/>
    <w:tmpl w:val="23E46BB2"/>
    <w:lvl w:ilvl="0" w:tplc="0BE815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05C0C"/>
    <w:multiLevelType w:val="hybridMultilevel"/>
    <w:tmpl w:val="B8345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371A20"/>
    <w:multiLevelType w:val="hybridMultilevel"/>
    <w:tmpl w:val="BCF8E8E4"/>
    <w:lvl w:ilvl="0" w:tplc="BBCE78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80206"/>
    <w:multiLevelType w:val="hybridMultilevel"/>
    <w:tmpl w:val="89E6AEF6"/>
    <w:lvl w:ilvl="0" w:tplc="D346B9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55C150D"/>
    <w:multiLevelType w:val="hybridMultilevel"/>
    <w:tmpl w:val="4F7A8A6C"/>
    <w:lvl w:ilvl="0" w:tplc="577EDA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CDD5EF0"/>
    <w:multiLevelType w:val="hybridMultilevel"/>
    <w:tmpl w:val="938AB516"/>
    <w:lvl w:ilvl="0" w:tplc="9B186C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765E77"/>
    <w:multiLevelType w:val="hybridMultilevel"/>
    <w:tmpl w:val="9F9E1188"/>
    <w:lvl w:ilvl="0" w:tplc="A4FAB9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DB218DB"/>
    <w:multiLevelType w:val="hybridMultilevel"/>
    <w:tmpl w:val="0910FED0"/>
    <w:lvl w:ilvl="0" w:tplc="AC8CF54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7E9"/>
    <w:rsid w:val="001F37E9"/>
    <w:rsid w:val="00A74E48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4D5B31-513B-4780-9CDF-8912070B9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4E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4E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2102</Words>
  <Characters>11983</Characters>
  <Application>Microsoft Office Word</Application>
  <DocSecurity>0</DocSecurity>
  <Lines>99</Lines>
  <Paragraphs>28</Paragraphs>
  <ScaleCrop>false</ScaleCrop>
  <Company/>
  <LinksUpToDate>false</LinksUpToDate>
  <CharactersWithSpaces>14057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2</cp:revision>
  <dcterms:created xsi:type="dcterms:W3CDTF">2020-11-01T14:19:00Z</dcterms:created>
  <dcterms:modified xsi:type="dcterms:W3CDTF">2020-11-01T14:20:00Z</dcterms:modified>
</cp:coreProperties>
</file>