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852" w:rsidRPr="00F41026" w:rsidRDefault="00DA2C1E" w:rsidP="00F4102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F410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6. </w:t>
      </w:r>
      <w:proofErr w:type="gramStart"/>
      <w:r w:rsidRPr="00F41026">
        <w:rPr>
          <w:rFonts w:ascii="Times New Roman" w:hAnsi="Times New Roman" w:cs="Times New Roman"/>
          <w:bCs/>
          <w:sz w:val="28"/>
          <w:szCs w:val="28"/>
        </w:rPr>
        <w:t>МЕТОДИЧЕСКИЕ ПОДХОДЫ</w:t>
      </w:r>
      <w:proofErr w:type="gramEnd"/>
      <w:r w:rsidRPr="00F41026">
        <w:rPr>
          <w:rFonts w:ascii="Times New Roman" w:hAnsi="Times New Roman" w:cs="Times New Roman"/>
          <w:bCs/>
          <w:sz w:val="28"/>
          <w:szCs w:val="28"/>
        </w:rPr>
        <w:t xml:space="preserve"> К ОЦЕНКЕ КОНКУРЕНТОСПОСОБНОСТИ ОТРАСЛИ</w:t>
      </w:r>
    </w:p>
    <w:p w:rsidR="00DA2C1E" w:rsidRPr="00F41026" w:rsidRDefault="00DA2C1E" w:rsidP="00F41026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F41026">
        <w:rPr>
          <w:rFonts w:ascii="Times New Roman" w:hAnsi="Times New Roman" w:cs="Times New Roman"/>
          <w:bCs/>
          <w:sz w:val="28"/>
          <w:szCs w:val="28"/>
        </w:rPr>
        <w:t>План.</w:t>
      </w:r>
    </w:p>
    <w:p w:rsidR="00D22E14" w:rsidRPr="00F41026" w:rsidRDefault="00D22E14" w:rsidP="00F4102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41026">
        <w:rPr>
          <w:rFonts w:ascii="Times New Roman" w:hAnsi="Times New Roman" w:cs="Times New Roman"/>
          <w:bCs/>
          <w:sz w:val="28"/>
          <w:szCs w:val="28"/>
        </w:rPr>
        <w:t>Понятие и экономические границы отрасли</w:t>
      </w:r>
    </w:p>
    <w:p w:rsidR="00F41026" w:rsidRPr="00F41026" w:rsidRDefault="00F41026" w:rsidP="00F41026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F41026">
        <w:rPr>
          <w:rFonts w:ascii="Times New Roman" w:hAnsi="Times New Roman" w:cs="Times New Roman"/>
          <w:bCs/>
          <w:sz w:val="28"/>
          <w:szCs w:val="28"/>
        </w:rPr>
        <w:t>Методы оценки конкурентоспособности отрасли</w:t>
      </w:r>
    </w:p>
    <w:p w:rsidR="00F41026" w:rsidRPr="00F41026" w:rsidRDefault="00F41026" w:rsidP="00F41026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bCs/>
          <w:sz w:val="28"/>
          <w:szCs w:val="28"/>
        </w:rPr>
      </w:pPr>
    </w:p>
    <w:p w:rsidR="00DA2C1E" w:rsidRPr="00DA2C1E" w:rsidRDefault="00DA2C1E" w:rsidP="00DA2C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DA2C1E" w:rsidRPr="00DA2C1E" w:rsidRDefault="00DA2C1E" w:rsidP="00DA2C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DA2C1E">
        <w:rPr>
          <w:rFonts w:ascii="Times New Roman" w:hAnsi="Times New Roman" w:cs="Times New Roman"/>
          <w:b/>
          <w:bCs/>
          <w:sz w:val="28"/>
          <w:szCs w:val="28"/>
        </w:rPr>
        <w:t>1. Понятие и экономические границы отрасли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В экономической науке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под отраслью понимают совокупность предприятий, занимающихся определенной, отличной от других подразделений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общественного производства деятельностью. В различных литературных источниках можно встретить использование понятия «отрасль» применительно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к совершенно разным по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масштабу, особенностям, роли в экономической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деятельности подобным совокупностям. Большинство экономистов определяет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отрасль как совокупность предприятий, обладающих общностью экономического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назначения продукции, основных видов потребляемого сырья и материалов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методов технологии и организации производства, профессионального состава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кадров.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Отраслевая структура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экономики отражает взаимосвязь основных отраслевых элементов, а также характер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необходимых и существенных связей между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ними. При этом в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зависимости от целей анализа применяются различные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варианты выделения и группировки отраслей</w:t>
      </w:r>
      <w:r w:rsidR="00D22E14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Весь экономический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комплекс можно разделить на следующие группы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отраслей: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>● отрасли материального производства: промышленность, строительство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сельское хозяйство, а также отрасли, связанные со снабжением населения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продукцией, т. е. заготовки, материально-техническое снабжение, торговля</w:t>
      </w:r>
      <w:r w:rsidR="00D22E14">
        <w:rPr>
          <w:rFonts w:ascii="Times New 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и общественное питание;</w:t>
      </w:r>
      <w:proofErr w:type="gramEnd"/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● отрасли непроизводственной сферы: жилищно-коммунальное хозяйство, бытовое обслуживание, транспорт, связь и т. п.;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● социальное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обслуживание населения: здравоохранение, наука, культура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и искусство, образование, отрасли управления.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Отраслевая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функциональная классификация включает четыре группы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отраслей. </w:t>
      </w: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>Первая группа (первичные) – добывающая промышленность и сельское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хозяйство; вторая группа (вторичные) – обрабатывающая промышленность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;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третья группа – транспорт, торговля, жилищное строительство, здравоохранение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обслуживающие производство и население; четвертая группа – управление, наука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и научное обслуживание, образование.</w:t>
      </w:r>
      <w:proofErr w:type="gramEnd"/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Развитие производства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приводит к постоянному выделению новых его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отраслей, особенно на базе научно-технического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прогресса. При этом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наблюдается тенденция к снижению доли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добывающих отраслей за счет роста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наукоемких.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Для современной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структуры экономики страны характерной чертой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является наличие отраслевых и межотраслевых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комплексов. Причем все в большей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lastRenderedPageBreak/>
        <w:t>степени в настоящее время идет процесс укрепления производственных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связей, интеграции разных ступеней производства. </w:t>
      </w: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>Сложились такие комплексы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как топливно-энергетический, металлургический, машиностроительный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химико-лесной, строительный, агропромышленный, транспортный.</w:t>
      </w:r>
      <w:proofErr w:type="gramEnd"/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Все эти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комплексы имеют, в свою очередь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сложную и дифференцированную структуру.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В условиях развития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рыночных отношений все большее значение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приобретает </w:t>
      </w:r>
      <w:r w:rsidRPr="00E10062">
        <w:rPr>
          <w:rFonts w:ascii="Times New Roman" w:eastAsia="TimesNewRoman" w:hAnsi="Times New Roman" w:cs="Times New Roman"/>
          <w:b/>
          <w:sz w:val="28"/>
          <w:szCs w:val="28"/>
        </w:rPr>
        <w:t>инфраструктура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– совокупность материальных средств, создающих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общие условия обеспечения производственных и социально-бытовых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потребностей. Она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подразделяется на </w:t>
      </w: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>производственную</w:t>
      </w:r>
      <w:proofErr w:type="gramEnd"/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и социальную.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0062">
        <w:rPr>
          <w:rFonts w:ascii="Times New Roman" w:eastAsia="TimesNewRoman" w:hAnsi="Times New Roman" w:cs="Times New Roman"/>
          <w:b/>
          <w:sz w:val="28"/>
          <w:szCs w:val="28"/>
        </w:rPr>
        <w:t>Производственная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инфраструктура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включает транспорт, связь, складское и тарное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хозяйства, материально-техническое снабжение, инженерные сооружения, газо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>-</w:t>
      </w:r>
      <w:r w:rsidR="00255F3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и нефтепроводы, ирригационные системы и т. д.; </w:t>
      </w:r>
      <w:r w:rsidRPr="00E10062">
        <w:rPr>
          <w:rFonts w:ascii="Times New Roman" w:eastAsia="TimesNewRoman" w:hAnsi="Times New Roman" w:cs="Times New Roman"/>
          <w:b/>
          <w:sz w:val="28"/>
          <w:szCs w:val="28"/>
        </w:rPr>
        <w:t xml:space="preserve">социальная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– пассажирский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транспорт, жилищно-коммунальное хозяйство городов и прочих населенных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пунктов.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Важнейшей сферой в отраслевой структуре мирового хозяйства остается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0062">
        <w:rPr>
          <w:rFonts w:ascii="Times New Roman" w:eastAsia="TimesNewRoman" w:hAnsi="Times New Roman" w:cs="Times New Roman"/>
          <w:b/>
          <w:sz w:val="28"/>
          <w:szCs w:val="28"/>
        </w:rPr>
        <w:t>промышленность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. На ее долю приходится 28 % ВВП промышленно развитых</w:t>
      </w:r>
      <w:r w:rsidR="00E10062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стран</w:t>
      </w:r>
      <w:r w:rsidR="00255F3D">
        <w:rPr>
          <w:rFonts w:ascii="Times New Roman" w:eastAsia="TimesNewRoman" w:hAnsi="Times New Roman" w:cs="Times New Roman"/>
          <w:sz w:val="28"/>
          <w:szCs w:val="28"/>
        </w:rPr>
        <w:t xml:space="preserve">.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Промышленность подразделяется </w:t>
      </w: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>на</w:t>
      </w:r>
      <w:proofErr w:type="gramEnd"/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добывающую и обрабатывающую. Обрабатывающие отрасли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обеспечивают уровень технического развития других сфер хозяйства, так как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в них аккумулируются научно-технические достижения. В развитых странах на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них приходится 83 % промышленной продукции</w:t>
      </w:r>
      <w:r w:rsidR="00255F3D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По экономическому назначению продукции вся промышленность делится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на две большие группы: производство сре</w:t>
      </w: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>дств пр</w:t>
      </w:r>
      <w:proofErr w:type="gramEnd"/>
      <w:r w:rsidRPr="00DA2C1E">
        <w:rPr>
          <w:rFonts w:ascii="Times New Roman" w:eastAsia="TimesNewRoman" w:hAnsi="Times New Roman" w:cs="Times New Roman"/>
          <w:sz w:val="28"/>
          <w:szCs w:val="28"/>
        </w:rPr>
        <w:t>оизводства (группа А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)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и производство предметов потребления (группа Б). Доля продукции отраслей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группы</w:t>
      </w: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А</w:t>
      </w:r>
      <w:proofErr w:type="gramEnd"/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составляет более 65 %. Деление промышленности на группы имеет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важное экономическое значение. Оно позволяет определить натурально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>-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вещественный состав произведенной продукции, вычислить долю каждой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группы в общем объеме промышленного производства и на этой основе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установить правильное соотношение между производством сре</w:t>
      </w: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>дств пр</w:t>
      </w:r>
      <w:proofErr w:type="gramEnd"/>
      <w:r w:rsidRPr="00DA2C1E">
        <w:rPr>
          <w:rFonts w:ascii="Times New Roman" w:eastAsia="TimesNewRoman" w:hAnsi="Times New Roman" w:cs="Times New Roman"/>
          <w:sz w:val="28"/>
          <w:szCs w:val="28"/>
        </w:rPr>
        <w:t>оизводства и производством предметов потребления.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По мере развития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стран осуществляется переход от базовых отраслей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являющихся ресурсоемкими, к наукоемким отраслям. При этом наблюдается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определенная последовательность в переходе от высокой доли сырьевых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и технически несложных производств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сначала к </w:t>
      </w:r>
      <w:proofErr w:type="spellStart"/>
      <w:r w:rsidRPr="00DA2C1E">
        <w:rPr>
          <w:rFonts w:ascii="Times New Roman" w:eastAsia="TimesNewRoman" w:hAnsi="Times New Roman" w:cs="Times New Roman"/>
          <w:sz w:val="28"/>
          <w:szCs w:val="28"/>
        </w:rPr>
        <w:t>капитал</w:t>
      </w: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>о</w:t>
      </w:r>
      <w:proofErr w:type="spellEnd"/>
      <w:r w:rsidRPr="00DA2C1E">
        <w:rPr>
          <w:rFonts w:ascii="Times New Roman" w:eastAsia="TimesNewRoman" w:hAnsi="Times New Roman" w:cs="Times New Roman"/>
          <w:sz w:val="28"/>
          <w:szCs w:val="28"/>
        </w:rPr>
        <w:t>-</w:t>
      </w:r>
      <w:proofErr w:type="gramEnd"/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и материалоемким,</w:t>
      </w:r>
    </w:p>
    <w:p w:rsidR="00DA2C1E" w:rsidRPr="00DA2C1E" w:rsidRDefault="00DA2C1E" w:rsidP="00DA2C1E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а затем и к наукоемким отраслям.</w:t>
      </w:r>
    </w:p>
    <w:p w:rsidR="00DA2C1E" w:rsidRPr="00DA2C1E" w:rsidRDefault="00DA2C1E" w:rsidP="00DA2C1E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Для повышения эффективности управления экономикой разрабатываются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и применяются различные классификации отраслей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.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Так, в СССР в период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административно-командной экономики существовал Общесоюзный классификатор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отраслей народного хозяйства (ОКОНХ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)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как составная часть Единой системы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классификации и кодирования технико-экономической информации.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Классификационной единицей отрасли являлось состоящее на самостоятельном балансе предприятие (организация). Каждое отдельное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lastRenderedPageBreak/>
        <w:t>предприятие  (организация) в зависимости от характера основного вида деятельности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относилось к какой-либо отрасли народного хозяйства.</w:t>
      </w:r>
    </w:p>
    <w:p w:rsidR="00DA2C1E" w:rsidRPr="00DA2C1E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В условиях рыночной экономики отрасль рассматривается как совокупность предприятий, выпускающих взаимозаменяемую продукцию, т. е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.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предлагающих покупателям товары, относящиеся к одному товарному рынку.</w:t>
      </w:r>
    </w:p>
    <w:p w:rsidR="00DA2C1E" w:rsidRPr="00E10062" w:rsidRDefault="00DA2C1E" w:rsidP="00D22E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8"/>
          <w:szCs w:val="28"/>
        </w:rPr>
      </w:pPr>
      <w:r w:rsidRPr="00255F3D">
        <w:rPr>
          <w:rFonts w:ascii="Times New Roman" w:eastAsia="TimesNewRoman" w:hAnsi="Times New Roman" w:cs="Times New Roman"/>
          <w:b/>
          <w:sz w:val="28"/>
          <w:szCs w:val="28"/>
        </w:rPr>
        <w:t>В соответствии с данным подходом под отраслью понимается рынок группы</w:t>
      </w:r>
      <w:r w:rsidR="00255F3D">
        <w:rPr>
          <w:rFonts w:ascii="Times New Roman" w:eastAsia="TimesNewRoman" w:hAnsi="Times New Roman" w:cs="Times New Roman"/>
          <w:b/>
          <w:sz w:val="28"/>
          <w:szCs w:val="28"/>
        </w:rPr>
        <w:t xml:space="preserve"> </w:t>
      </w:r>
      <w:r w:rsidRPr="00255F3D">
        <w:rPr>
          <w:rFonts w:ascii="Times New Roman" w:eastAsia="TimesNewRoman" w:hAnsi="Times New Roman" w:cs="Times New Roman"/>
          <w:b/>
          <w:sz w:val="28"/>
          <w:szCs w:val="28"/>
        </w:rPr>
        <w:t>взаимозаменяемых товаров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и, следовательно, отрасль и товарный рынок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трактуются в значительной мере идентично.</w:t>
      </w:r>
    </w:p>
    <w:p w:rsidR="00DA2C1E" w:rsidRPr="00DA2C1E" w:rsidRDefault="00DA2C1E" w:rsidP="00292F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Различие между указанными понятиями заключается в том, что отрасли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определяются как более широкие секторы экономики. Это различие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обусловливается возможностью использования двух подходов к определению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взаимозаменяемости (субституции) товаров: </w:t>
      </w:r>
      <w:proofErr w:type="spellStart"/>
      <w:r w:rsidRPr="00DA2C1E">
        <w:rPr>
          <w:rFonts w:ascii="Times New Roman" w:eastAsia="TimesNewRoman" w:hAnsi="Times New Roman" w:cs="Times New Roman"/>
          <w:sz w:val="28"/>
          <w:szCs w:val="28"/>
        </w:rPr>
        <w:t>заменяемость</w:t>
      </w:r>
      <w:proofErr w:type="spellEnd"/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со стороны спроса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и со стороны предложения. Например, рынок легковых автомобилей со</w:t>
      </w:r>
      <w:r w:rsidR="00D22E14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стороны </w:t>
      </w: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>спроса</w:t>
      </w:r>
      <w:proofErr w:type="gramEnd"/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возможно рассматривать отдельно от рынка грузовых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автомобилей. Более того, на основе ценовых различий на рынке легковых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gramStart"/>
      <w:r w:rsidRPr="00DA2C1E">
        <w:rPr>
          <w:rFonts w:ascii="Times New Roman" w:eastAsia="TimesNewRoman" w:hAnsi="Times New Roman" w:cs="Times New Roman"/>
          <w:sz w:val="28"/>
          <w:szCs w:val="28"/>
        </w:rPr>
        <w:t>автомобилей</w:t>
      </w:r>
      <w:proofErr w:type="gramEnd"/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возможно выделять единичные целевые рынки, в частности рынок автомобилей класса люкс. Однако со стороны предложения может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формироваться иное представление о взаимозаменяемости автомобилей. Если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изготовители имеют возможность переключения с производства автомобилей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класса люкс на семейные пикапы или спортивные автомобили, то это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существенно изменяет масштабы субституции. Индустрия легковых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автомобилей нередко переходит на производство пикапов и легковых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грузовиков, поскольку их можно изготавливать на тех же предприятиях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с использованием унифицированных узлов и деталей.</w:t>
      </w:r>
    </w:p>
    <w:p w:rsidR="00DA2C1E" w:rsidRPr="00DA2C1E" w:rsidRDefault="00255F3D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NewRoman" w:hAnsi="Times New Roman" w:cs="Times New Roman"/>
          <w:sz w:val="28"/>
          <w:szCs w:val="28"/>
        </w:rPr>
        <w:t>Т.о</w:t>
      </w:r>
      <w:proofErr w:type="spellEnd"/>
      <w:r>
        <w:rPr>
          <w:rFonts w:ascii="Times New Roman" w:eastAsia="TimesNewRoman" w:hAnsi="Times New Roman" w:cs="Times New Roman"/>
          <w:sz w:val="28"/>
          <w:szCs w:val="28"/>
        </w:rPr>
        <w:t>. о</w:t>
      </w:r>
      <w:r w:rsidR="00DA2C1E" w:rsidRPr="00DA2C1E">
        <w:rPr>
          <w:rFonts w:ascii="Times New Roman" w:eastAsia="TimesNewRoman" w:hAnsi="Times New Roman" w:cs="Times New Roman"/>
          <w:sz w:val="28"/>
          <w:szCs w:val="28"/>
        </w:rPr>
        <w:t>трасль представляет собой совокупность предприятий, реализующих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DA2C1E" w:rsidRPr="00DA2C1E">
        <w:rPr>
          <w:rFonts w:ascii="Times New Roman" w:eastAsia="TimesNewRoman" w:hAnsi="Times New Roman" w:cs="Times New Roman"/>
          <w:sz w:val="28"/>
          <w:szCs w:val="28"/>
        </w:rPr>
        <w:t>товары на отдельном единичном рынке</w:t>
      </w:r>
      <w:r>
        <w:rPr>
          <w:rFonts w:ascii="Times New Roman" w:eastAsia="TimesNewRoman" w:hAnsi="Times New Roman" w:cs="Times New Roman"/>
          <w:sz w:val="28"/>
          <w:szCs w:val="28"/>
        </w:rPr>
        <w:t xml:space="preserve">. </w:t>
      </w:r>
    </w:p>
    <w:p w:rsidR="00DA2C1E" w:rsidRPr="00DA2C1E" w:rsidRDefault="00DA2C1E" w:rsidP="00292F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На практике разграничение рынков и отраслей зависит от целей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исследования. Чем более долгосрочными являются принимаемые решения, тем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шире границы рассматриваемых рынков, так как эффект взаимозависимости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проявляется в стратегической долгосрочной перспективе. Поэтому в целях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микроанализа целесообразно использование понятия </w:t>
      </w:r>
      <w:r w:rsidRPr="00255F3D">
        <w:rPr>
          <w:rFonts w:ascii="Times New Roman" w:eastAsia="TimesNewRoman" w:hAnsi="Times New Roman" w:cs="Times New Roman"/>
          <w:b/>
          <w:sz w:val="28"/>
          <w:szCs w:val="28"/>
        </w:rPr>
        <w:t>«рынок»,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а в случае</w:t>
      </w:r>
      <w:r w:rsidR="00255F3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макроэкономического подхода к исследованию рыночной взаимозаменяемости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со стороны предприятия необходимо использование понятия </w:t>
      </w:r>
      <w:r w:rsidRPr="00255F3D">
        <w:rPr>
          <w:rFonts w:ascii="Times New Roman" w:eastAsia="TimesNewRoman" w:hAnsi="Times New Roman" w:cs="Times New Roman"/>
          <w:b/>
          <w:sz w:val="28"/>
          <w:szCs w:val="28"/>
        </w:rPr>
        <w:t>«отрасль».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 Для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анализа конкурентоспособности товаров обычно рассматривается товарный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рынок. В целях оценки конкурентной среды, барьеров входа и выхода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перспектив развития данного рынка целесообразно исследование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соответствующей отрасли.</w:t>
      </w:r>
    </w:p>
    <w:p w:rsidR="00DA2C1E" w:rsidRPr="00DA2C1E" w:rsidRDefault="00DA2C1E" w:rsidP="00292F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Рыночный подход реализуется в системе международных экономико</w:t>
      </w:r>
      <w:r w:rsidR="00255F3D">
        <w:rPr>
          <w:rFonts w:ascii="Times New Roman" w:eastAsia="TimesNewRoman" w:hAnsi="Times New Roman" w:cs="Times New Roman"/>
          <w:sz w:val="28"/>
          <w:szCs w:val="28"/>
        </w:rPr>
        <w:t>-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статистических квалификаций, в том числе Международной стандартной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отраслевой классификации всех видов экономической деятельности (МСОК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),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использование которой предписано странами-членами Европейского союза.</w:t>
      </w:r>
    </w:p>
    <w:p w:rsidR="00DA2C1E" w:rsidRPr="00DA2C1E" w:rsidRDefault="00DA2C1E" w:rsidP="00292F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В настоящее время в российскую статистику и экономику внедрен адаптированный к МСОК Общероссийский классификатор видов экономической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 xml:space="preserve">деятельности (ОКВЭД), который включает перечень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lastRenderedPageBreak/>
        <w:t>классификационных</w:t>
      </w:r>
      <w:r w:rsidR="00292F5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группировок видов экономической деят</w:t>
      </w:r>
      <w:r w:rsidR="00C91A7C">
        <w:rPr>
          <w:rFonts w:ascii="Times New Roman" w:eastAsia="TimesNewRoman" w:hAnsi="Times New Roman" w:cs="Times New Roman"/>
          <w:sz w:val="28"/>
          <w:szCs w:val="28"/>
        </w:rPr>
        <w:t>ельности и их описания (табл.</w:t>
      </w:r>
      <w:r w:rsidRPr="00DA2C1E">
        <w:rPr>
          <w:rFonts w:ascii="Times New Roman" w:eastAsia="TimesNewRoman" w:hAnsi="Times New Roman" w:cs="Times New Roman"/>
          <w:sz w:val="28"/>
          <w:szCs w:val="28"/>
        </w:rPr>
        <w:t>1).</w:t>
      </w:r>
    </w:p>
    <w:p w:rsidR="00DA2C1E" w:rsidRPr="00DA2C1E" w:rsidRDefault="00C91A7C" w:rsidP="00292F5A">
      <w:pPr>
        <w:jc w:val="right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Таблица </w:t>
      </w:r>
      <w:r w:rsidR="00DA2C1E" w:rsidRPr="00DA2C1E">
        <w:rPr>
          <w:rFonts w:ascii="Times New Roman" w:eastAsia="TimesNewRoman" w:hAnsi="Times New Roman" w:cs="Times New Roman"/>
          <w:sz w:val="28"/>
          <w:szCs w:val="28"/>
        </w:rPr>
        <w:t>1</w:t>
      </w:r>
    </w:p>
    <w:p w:rsidR="00DA2C1E" w:rsidRDefault="00DA2C1E" w:rsidP="00292F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8"/>
          <w:szCs w:val="28"/>
        </w:rPr>
      </w:pPr>
      <w:r w:rsidRPr="00DA2C1E">
        <w:rPr>
          <w:rFonts w:ascii="Times New Roman" w:eastAsia="TimesNewRoman" w:hAnsi="Times New Roman" w:cs="Times New Roman"/>
          <w:sz w:val="28"/>
          <w:szCs w:val="28"/>
        </w:rPr>
        <w:t>Структура ОКВЭД на уровне разделов, подразделов и классов</w:t>
      </w:r>
      <w:r w:rsidR="00AB024D">
        <w:rPr>
          <w:rFonts w:ascii="Times New Roman" w:eastAsia="TimesNewRoman" w:hAnsi="Times New Roman" w:cs="Times New Roman"/>
          <w:sz w:val="28"/>
          <w:szCs w:val="28"/>
        </w:rPr>
        <w:t xml:space="preserve"> (пример)</w:t>
      </w:r>
    </w:p>
    <w:p w:rsidR="00C91A7C" w:rsidRDefault="00C91A7C" w:rsidP="00292F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68"/>
        <w:gridCol w:w="2835"/>
        <w:gridCol w:w="5068"/>
      </w:tblGrid>
      <w:tr w:rsidR="00C91A7C" w:rsidTr="00AB024D">
        <w:tc>
          <w:tcPr>
            <w:tcW w:w="1668" w:type="dxa"/>
          </w:tcPr>
          <w:p w:rsidR="00C91A7C" w:rsidRPr="00DA2C1E" w:rsidRDefault="00C91A7C" w:rsidP="00C91A7C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Разделы</w:t>
            </w:r>
            <w:r w:rsidR="00AB024D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и подраз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делы</w:t>
            </w:r>
          </w:p>
          <w:p w:rsidR="00C91A7C" w:rsidRDefault="00C91A7C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Наименование разделов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и подразделов</w:t>
            </w:r>
          </w:p>
          <w:p w:rsidR="00C91A7C" w:rsidRDefault="00C91A7C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Коды и наименование классов,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входящих в разделы</w:t>
            </w:r>
          </w:p>
          <w:p w:rsidR="00C91A7C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и подразделы</w:t>
            </w:r>
          </w:p>
        </w:tc>
      </w:tr>
      <w:tr w:rsidR="00C91A7C" w:rsidTr="00AB024D">
        <w:tc>
          <w:tcPr>
            <w:tcW w:w="1668" w:type="dxa"/>
          </w:tcPr>
          <w:p w:rsidR="00C91A7C" w:rsidRDefault="00AB024D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  <w:t>А</w:t>
            </w:r>
          </w:p>
        </w:tc>
        <w:tc>
          <w:tcPr>
            <w:tcW w:w="2835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Сельское хозяйство, охота</w:t>
            </w:r>
          </w:p>
          <w:p w:rsidR="00C91A7C" w:rsidRPr="00AB024D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и лесное хозяйство</w:t>
            </w:r>
          </w:p>
        </w:tc>
        <w:tc>
          <w:tcPr>
            <w:tcW w:w="5068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01 Сельское хозяйство, охота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и предоставление услуг в этих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proofErr w:type="gramStart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областях</w:t>
            </w:r>
            <w:proofErr w:type="gramEnd"/>
          </w:p>
          <w:p w:rsidR="00C91A7C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02 Лесное хозяйство и предоста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вление услуг в этой области</w:t>
            </w:r>
          </w:p>
        </w:tc>
      </w:tr>
      <w:tr w:rsidR="00C91A7C" w:rsidTr="00AB024D">
        <w:tc>
          <w:tcPr>
            <w:tcW w:w="1668" w:type="dxa"/>
          </w:tcPr>
          <w:p w:rsidR="00C91A7C" w:rsidRDefault="00AB024D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  <w:t>В</w:t>
            </w:r>
          </w:p>
        </w:tc>
        <w:tc>
          <w:tcPr>
            <w:tcW w:w="2835" w:type="dxa"/>
          </w:tcPr>
          <w:p w:rsidR="00C91A7C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Рыболовство, рыбоводство</w:t>
            </w:r>
          </w:p>
        </w:tc>
        <w:tc>
          <w:tcPr>
            <w:tcW w:w="5068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05 Рыболовство, рыбоводство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и предоставление услуг в этих</w:t>
            </w:r>
          </w:p>
          <w:p w:rsidR="00C91A7C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proofErr w:type="gramStart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областях</w:t>
            </w:r>
            <w:proofErr w:type="gramEnd"/>
          </w:p>
        </w:tc>
      </w:tr>
      <w:tr w:rsidR="00C91A7C" w:rsidTr="00AB024D">
        <w:tc>
          <w:tcPr>
            <w:tcW w:w="1668" w:type="dxa"/>
          </w:tcPr>
          <w:p w:rsidR="00C91A7C" w:rsidRDefault="00AB024D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  <w:t>С</w:t>
            </w:r>
          </w:p>
          <w:p w:rsidR="00AB024D" w:rsidRDefault="00AB024D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</w:pPr>
          </w:p>
          <w:p w:rsidR="00AB024D" w:rsidRDefault="00AB024D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  <w:t>СА</w:t>
            </w:r>
          </w:p>
        </w:tc>
        <w:tc>
          <w:tcPr>
            <w:tcW w:w="2835" w:type="dxa"/>
          </w:tcPr>
          <w:p w:rsidR="00AB024D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Добыча полезных ископаемых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Добыча топливно-энергетичес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ких полезных ископаемых</w:t>
            </w:r>
          </w:p>
          <w:p w:rsidR="00C91A7C" w:rsidRDefault="00C91A7C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10 Добыча каменного угля, бу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рого угля и торфа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11 Добыча сырой нефти и </w:t>
            </w:r>
            <w:proofErr w:type="gramStart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при</w:t>
            </w:r>
            <w:proofErr w:type="gramEnd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-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родного газа, предоставление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услуг в этих областях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12 Добыча </w:t>
            </w:r>
            <w:proofErr w:type="gramStart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урановой</w:t>
            </w:r>
            <w:proofErr w:type="gramEnd"/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и ториевой</w:t>
            </w:r>
          </w:p>
          <w:p w:rsidR="00C91A7C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руд</w:t>
            </w:r>
          </w:p>
        </w:tc>
      </w:tr>
      <w:tr w:rsidR="00C91A7C" w:rsidTr="00AB024D">
        <w:tc>
          <w:tcPr>
            <w:tcW w:w="1668" w:type="dxa"/>
          </w:tcPr>
          <w:p w:rsidR="00C91A7C" w:rsidRDefault="00AB024D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proofErr w:type="gramStart"/>
            <w:r w:rsidRPr="00DA2C1E"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  <w:t>СВ</w:t>
            </w:r>
            <w:proofErr w:type="gramEnd"/>
          </w:p>
        </w:tc>
        <w:tc>
          <w:tcPr>
            <w:tcW w:w="2835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Добыча полезных ископаемых,</w:t>
            </w:r>
          </w:p>
          <w:p w:rsidR="00C91A7C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кроме топливно-энергетических</w:t>
            </w:r>
          </w:p>
        </w:tc>
        <w:tc>
          <w:tcPr>
            <w:tcW w:w="5068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13 Добыча металлических руд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14 Добыча прочих полезных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ископаемых</w:t>
            </w:r>
          </w:p>
          <w:p w:rsidR="00C91A7C" w:rsidRDefault="00C91A7C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</w:tr>
      <w:tr w:rsidR="00C91A7C" w:rsidTr="00AB024D">
        <w:tc>
          <w:tcPr>
            <w:tcW w:w="1668" w:type="dxa"/>
          </w:tcPr>
          <w:p w:rsidR="00C91A7C" w:rsidRDefault="00AB024D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b/>
                <w:bCs/>
                <w:i/>
                <w:iCs/>
                <w:sz w:val="28"/>
                <w:szCs w:val="28"/>
              </w:rPr>
              <w:t>D</w:t>
            </w:r>
          </w:p>
          <w:p w:rsidR="00AB024D" w:rsidRDefault="00AB024D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</w:pPr>
          </w:p>
          <w:p w:rsidR="00AB024D" w:rsidRDefault="00AB024D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  <w:t>DA</w:t>
            </w:r>
          </w:p>
        </w:tc>
        <w:tc>
          <w:tcPr>
            <w:tcW w:w="2835" w:type="dxa"/>
          </w:tcPr>
          <w:p w:rsidR="00C91A7C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Обрабатывающие производ</w:t>
            </w:r>
            <w:r w:rsidRPr="00DA2C1E">
              <w:rPr>
                <w:rFonts w:ascii="Times New Roman" w:eastAsia="TimesNewRoman" w:hAnsi="Times New Roman" w:cs="Times New Roman"/>
                <w:b/>
                <w:bCs/>
                <w:sz w:val="28"/>
                <w:szCs w:val="28"/>
              </w:rPr>
              <w:t>ства</w:t>
            </w:r>
          </w:p>
          <w:p w:rsidR="00AB024D" w:rsidRPr="00AB024D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Производство пищевых продук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тов, включая напитки и табак</w:t>
            </w:r>
          </w:p>
        </w:tc>
        <w:tc>
          <w:tcPr>
            <w:tcW w:w="5068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15 Производство пищев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ых про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дуктов, включая напитки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16 Производство табачных изделий</w:t>
            </w:r>
          </w:p>
          <w:p w:rsidR="00C91A7C" w:rsidRDefault="00C91A7C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</w:tr>
      <w:tr w:rsidR="00C91A7C" w:rsidTr="00AB024D">
        <w:tc>
          <w:tcPr>
            <w:tcW w:w="1668" w:type="dxa"/>
          </w:tcPr>
          <w:p w:rsidR="00C91A7C" w:rsidRDefault="00AB024D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i/>
                <w:iCs/>
                <w:sz w:val="28"/>
                <w:szCs w:val="28"/>
              </w:rPr>
              <w:t>DB</w:t>
            </w:r>
          </w:p>
        </w:tc>
        <w:tc>
          <w:tcPr>
            <w:tcW w:w="2835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>Текстильное и швейное произ</w:t>
            </w: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водство</w:t>
            </w:r>
          </w:p>
          <w:p w:rsidR="00C91A7C" w:rsidRDefault="00C91A7C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  <w:tc>
          <w:tcPr>
            <w:tcW w:w="5068" w:type="dxa"/>
          </w:tcPr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17 Текстильное производство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18 Производство одежды; выдел-</w:t>
            </w:r>
          </w:p>
          <w:p w:rsidR="00AB024D" w:rsidRPr="00DA2C1E" w:rsidRDefault="00AB024D" w:rsidP="00AB024D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DA2C1E">
              <w:rPr>
                <w:rFonts w:ascii="Times New Roman" w:eastAsia="TimesNewRoman" w:hAnsi="Times New Roman" w:cs="Times New Roman"/>
                <w:sz w:val="28"/>
                <w:szCs w:val="28"/>
              </w:rPr>
              <w:t>ка и крашение меха</w:t>
            </w:r>
          </w:p>
          <w:p w:rsidR="00C91A7C" w:rsidRDefault="00C91A7C" w:rsidP="00292F5A">
            <w:pPr>
              <w:autoSpaceDE w:val="0"/>
              <w:autoSpaceDN w:val="0"/>
              <w:adjustRightInd w:val="0"/>
              <w:jc w:val="center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</w:p>
        </w:tc>
      </w:tr>
    </w:tbl>
    <w:p w:rsidR="00666F4B" w:rsidRDefault="00666F4B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В ОКВЭД использованы иера</w:t>
      </w:r>
      <w:r w:rsidR="00AB024D">
        <w:rPr>
          <w:rFonts w:ascii="Times New Roman" w:eastAsia="TimesNewRoman" w:hAnsi="Times New Roman" w:cs="Times New Roman"/>
          <w:sz w:val="28"/>
          <w:szCs w:val="28"/>
        </w:rPr>
        <w:t xml:space="preserve">рхический метод классификации и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последовательный метод кодирования. Код группировок видов экономической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деятельности состоит из двух-шести цифровых знаков, и его структура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представлена в следующем виде:</w:t>
      </w:r>
    </w:p>
    <w:p w:rsidR="00DA2C1E" w:rsidRPr="00E16249" w:rsidRDefault="00DA2C1E" w:rsidP="00AB024D">
      <w:pPr>
        <w:spacing w:after="0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XX – класс;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lastRenderedPageBreak/>
        <w:t>ХХ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.Х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– подкласс;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ХХ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.Х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>Х – группа;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ХХ.ХХ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.Х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– подгруппа;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ХХ.ХХ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.Х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>Х – вид.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В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классификатор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введены разделы и подразделы с сохранением их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буквенных обозначений. Например: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Раздел D. Обрабатывающие производства.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Подраздел 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D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>К. Производство машин и оборудования.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29 Производство машин и оборудования.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29.1 Производство механического оборудования.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29.11 Производство двигателей и турбин, кроме авиационных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автомобильных и мотоциклетных двигателей.</w:t>
      </w:r>
    </w:p>
    <w:p w:rsidR="00DA2C1E" w:rsidRPr="00E16249" w:rsidRDefault="00DA2C1E" w:rsidP="00AB02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29.11.1 Производство двигателей, 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кроме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авиационных, автомобильных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и мотоциклетных.</w:t>
      </w:r>
    </w:p>
    <w:p w:rsidR="00DA2C1E" w:rsidRPr="00E16249" w:rsidRDefault="00DA2C1E" w:rsidP="00DA2C1E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29.11.2 Производство турбин.</w:t>
      </w:r>
    </w:p>
    <w:p w:rsidR="00DA2C1E" w:rsidRPr="00E16249" w:rsidRDefault="00DA2C1E" w:rsidP="00DA2C1E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29.11.21 Производство паровых турбин.</w:t>
      </w:r>
    </w:p>
    <w:p w:rsidR="00DA2C1E" w:rsidRPr="00E16249" w:rsidRDefault="00DA2C1E" w:rsidP="00DA2C1E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29.11.22 Производство гидравлических турбин и водяных колес.</w:t>
      </w:r>
    </w:p>
    <w:p w:rsidR="00DA2C1E" w:rsidRPr="00E16249" w:rsidRDefault="00DA2C1E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29.11.23 Производство газовых турбин, 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кроме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турбореактивных и турбиновинтовых.</w:t>
      </w:r>
    </w:p>
    <w:p w:rsidR="00DA2C1E" w:rsidRPr="00E16249" w:rsidRDefault="00DA2C1E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Различия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между ОКОНХ и ОКВЭД содержатся не только в перечне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группировок и их содержании, но прежде всего в самом принципе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классификации: единицей классификации в ОКОНХ является состоящее на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самостоятельном балансе предприятие, в ОКВЭД – вид экономической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деятельности, который характеризуется затратами на производство, процессом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производства и выпуска продукции (оказанием услуг). В качестве классификационных признаков видов экономической деятельности в ОКВЭД</w:t>
      </w:r>
    </w:p>
    <w:p w:rsidR="00CA0A9D" w:rsidRDefault="00DA2C1E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используются признаки, характеризующие сферу деятельности, процесс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(технологию) производства и т. п. В качестве дополнительного (в пределах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одного и того же процесса производства) может выделяться признак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«используемые сырье и материалы»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DA2C1E" w:rsidRPr="00E16249" w:rsidRDefault="00DA2C1E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В соответствии с международной практикой в ОКВЭД не учитываются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такие классификационные признаки, как форма собственности, организационно-правовая форма и ведомственная подчиненность хозяйствующих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AB024D">
        <w:rPr>
          <w:rFonts w:ascii="Times New Roman" w:eastAsia="TimesNewRoman" w:hAnsi="Times New Roman" w:cs="Times New Roman"/>
          <w:sz w:val="28"/>
          <w:szCs w:val="28"/>
        </w:rPr>
        <w:t>субъектов.</w:t>
      </w:r>
    </w:p>
    <w:p w:rsidR="00DA2C1E" w:rsidRPr="00E16249" w:rsidRDefault="00DA2C1E" w:rsidP="00DA2C1E">
      <w:pPr>
        <w:rPr>
          <w:rFonts w:ascii="Times New Roman" w:eastAsia="TimesNewRoman" w:hAnsi="Times New Roman" w:cs="Times New Roman"/>
          <w:sz w:val="28"/>
          <w:szCs w:val="28"/>
        </w:rPr>
      </w:pPr>
    </w:p>
    <w:p w:rsidR="00DA2C1E" w:rsidRPr="00E16249" w:rsidRDefault="00DA2C1E" w:rsidP="00DA2C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E16249">
        <w:rPr>
          <w:rFonts w:ascii="Times New Roman" w:hAnsi="Times New Roman" w:cs="Times New Roman"/>
          <w:b/>
          <w:bCs/>
          <w:sz w:val="28"/>
          <w:szCs w:val="28"/>
        </w:rPr>
        <w:t>2. Методы оценки конкурентоспособности отрасли</w:t>
      </w:r>
    </w:p>
    <w:p w:rsidR="00DA2C1E" w:rsidRPr="00E16249" w:rsidRDefault="00DA2C1E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Конкурентоспособность отрасли – это способность хозяйствующих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субъектов, действующих в ее рамках, участвовать в соревновании с реальными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и потенциальными конкурентами за потребителя на отраслевом рыночном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сегменте в конкретный период времени благодаря определенному сочетанию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свой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ств пр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>оизводимых товаров, условий воспроизводства основных факторов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производства и использованию других управляемых факторов.</w:t>
      </w:r>
    </w:p>
    <w:p w:rsidR="00DA2C1E" w:rsidRPr="00E16249" w:rsidRDefault="00DA2C1E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lastRenderedPageBreak/>
        <w:t>Конкурентоспособность отрасли следует определять как относительную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характеристику, отражающую основные отличия данной отрасли от других как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 степени удовлетворения своими товарами или услугами (определяя их</w:t>
      </w:r>
      <w:proofErr w:type="gramEnd"/>
    </w:p>
    <w:p w:rsidR="00DA2C1E" w:rsidRPr="00E16249" w:rsidRDefault="00DA2C1E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конкурентоспособность) конкретной общественной потребности, так и по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эффективности производственной деятельности.</w:t>
      </w:r>
    </w:p>
    <w:p w:rsidR="00DA2C1E" w:rsidRPr="00E16249" w:rsidRDefault="00DA2C1E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Характеристика конкурентоспособности отрасли включает возможности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и динамику приспособления отрасли к изменяющимся условиям конкуренции</w:t>
      </w:r>
    </w:p>
    <w:p w:rsidR="00E16249" w:rsidRPr="00E16249" w:rsidRDefault="00DA2C1E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на внутреннем и внешнем рынках. Это отличие обусловлено временны´ 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м</w:t>
      </w:r>
      <w:proofErr w:type="gramEnd"/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фактором (все экономические процессы ограничены временем). Длительность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изучения должна быть не менее срока становления продукции в отрасли, т. е.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выпуска на рынок новых товаров. Кроме того, система факторов, влияющих на</w:t>
      </w:r>
      <w:r w:rsidR="00F41026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E16249" w:rsidRPr="00E16249">
        <w:rPr>
          <w:rFonts w:ascii="Times New Roman" w:eastAsia="TimesNewRoman" w:hAnsi="Times New Roman" w:cs="Times New Roman"/>
          <w:sz w:val="28"/>
          <w:szCs w:val="28"/>
        </w:rPr>
        <w:t>конкурентоспособность отрасли, может быть проконтролирована со стороны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E16249" w:rsidRPr="00E16249">
        <w:rPr>
          <w:rFonts w:ascii="Times New Roman" w:eastAsia="TimesNewRoman" w:hAnsi="Times New Roman" w:cs="Times New Roman"/>
          <w:sz w:val="28"/>
          <w:szCs w:val="28"/>
        </w:rPr>
        <w:t>производителя. Речь идет о внутренних и внешних факторах. К первым относят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E16249" w:rsidRPr="00E16249">
        <w:rPr>
          <w:rFonts w:ascii="Times New Roman" w:eastAsia="TimesNewRoman" w:hAnsi="Times New Roman" w:cs="Times New Roman"/>
          <w:sz w:val="28"/>
          <w:szCs w:val="28"/>
        </w:rPr>
        <w:t>факторы конкурентных преимуществ отрасли, ко вторым, соответственно –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E16249" w:rsidRPr="00E16249">
        <w:rPr>
          <w:rFonts w:ascii="Times New Roman" w:eastAsia="TimesNewRoman" w:hAnsi="Times New Roman" w:cs="Times New Roman"/>
          <w:sz w:val="28"/>
          <w:szCs w:val="28"/>
        </w:rPr>
        <w:t>внешние параметры социально-экономической среды, вне сферы непосредственного влияния отрасли.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Конкурентные преимущества отрасли можно распределить по двум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группам: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F41026">
        <w:rPr>
          <w:rFonts w:ascii="Times New Roman" w:eastAsia="TimesNewRoman" w:hAnsi="Times New Roman" w:cs="Times New Roman"/>
          <w:b/>
          <w:sz w:val="28"/>
          <w:szCs w:val="28"/>
        </w:rPr>
        <w:t>I группа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– конкурентные преимущества, формируемые на уровне предприятий отрасли;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F41026">
        <w:rPr>
          <w:rFonts w:ascii="Times New Roman" w:eastAsia="TimesNewRoman" w:hAnsi="Times New Roman" w:cs="Times New Roman"/>
          <w:b/>
          <w:sz w:val="28"/>
          <w:szCs w:val="28"/>
        </w:rPr>
        <w:t>II группа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– конкурентные преимущества, формируемые на отраслевом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уровне экономики: «отраслевые конкурентные преимущества».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F41026">
        <w:rPr>
          <w:rFonts w:ascii="Times New Roman" w:eastAsia="TimesNewRoman" w:hAnsi="Times New Roman" w:cs="Times New Roman"/>
          <w:b/>
          <w:sz w:val="28"/>
          <w:szCs w:val="28"/>
        </w:rPr>
        <w:t>Отраслевые конкурентные преимущества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– это преимущества, которыми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могут воспользоваться все предприятия отрасли, т. е. преимущества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обусловленные спецификой, структурой отрасли, факторными условиями,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параметрами спроса на отраслевой продукт, развитостью специализированной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F41026">
        <w:rPr>
          <w:rFonts w:ascii="Times New Roman" w:eastAsia="TimesNewRoman" w:hAnsi="Times New Roman" w:cs="Times New Roman"/>
          <w:sz w:val="28"/>
          <w:szCs w:val="28"/>
        </w:rPr>
        <w:t>инфраструктуры и т. п.</w:t>
      </w:r>
      <w:proofErr w:type="gramEnd"/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Особенностью отраслевых преимуществ является то, что они, как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правило, не могут быть созданы на уровне отдельных предприятий, но могут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использоваться всеми предприятиями для укрепления своего конкурентного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положения и повышения потенциала прибыльности.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Отраслевые конкурентные преимущества открывают перед предприятиями определенные возможности, но не все предприятия могут с одинаковым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успехом использовать их в силу особенностей внутренней среды.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В формировании отраслевых конкурентных преимуществ заинтересованы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все предприятия отрасли, поскольку данные преимущества способствуют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повышению прибыльности, а благодаря прибыльности повышается конкурентоспособность отрасли. Укрепление основных конкурентных преимуществ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не снижает конкуренцию на отраслевом рынке, а переводит ее на более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высокий качественный уровень, способствует освоению более совершенных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источников конкурентных преимуществ.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На сегодняшний день существуют различные подходы к оценке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конкурентоспособности отрасли. Рассмотрим некоторые из них.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16249">
        <w:rPr>
          <w:rFonts w:ascii="Times New Roman" w:hAnsi="Times New Roman" w:cs="Times New Roman"/>
          <w:b/>
          <w:bCs/>
          <w:sz w:val="28"/>
          <w:szCs w:val="28"/>
        </w:rPr>
        <w:t>Модель анализа «пяти сил» конкурентной ср</w:t>
      </w:r>
      <w:r w:rsidR="00A82ACA">
        <w:rPr>
          <w:rFonts w:ascii="Times New Roman" w:hAnsi="Times New Roman" w:cs="Times New Roman"/>
          <w:b/>
          <w:bCs/>
          <w:sz w:val="28"/>
          <w:szCs w:val="28"/>
        </w:rPr>
        <w:t>еды Майкла</w:t>
      </w:r>
      <w:r w:rsidR="00F41026">
        <w:rPr>
          <w:rFonts w:ascii="Times New Roman" w:hAnsi="Times New Roman" w:cs="Times New Roman"/>
          <w:b/>
          <w:bCs/>
          <w:sz w:val="28"/>
          <w:szCs w:val="28"/>
        </w:rPr>
        <w:t xml:space="preserve"> Портера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Модель М. Портера основывается на следующих положениях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структурного анализа конкурентной среды отрасли: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lastRenderedPageBreak/>
        <w:t>1. Конкуренция выходит за пределы конкурирующих предприятий.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2. При проведении структурного анализа необходимо определить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интенсивность конкуренции и в этой связи исследовать потенциальные уровни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воздействия на предприятие сле</w:t>
      </w:r>
      <w:r w:rsidR="00A82ACA">
        <w:rPr>
          <w:rFonts w:ascii="Times New Roman" w:eastAsia="TimesNewRoman" w:hAnsi="Times New Roman" w:cs="Times New Roman"/>
          <w:sz w:val="28"/>
          <w:szCs w:val="28"/>
        </w:rPr>
        <w:t>дующих ключевых сил (рис.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1):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угроза проникновения на рынок потенциальных конкурентов;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власть покупателей;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власть поставщиков;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угрозы со стороны заменителей товара или услуги;</w:t>
      </w:r>
    </w:p>
    <w:p w:rsidR="00E16249" w:rsidRPr="00E16249" w:rsidRDefault="00E16249" w:rsidP="00F41026">
      <w:pPr>
        <w:spacing w:after="0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уровень конкурентной борьбы между традиционными конкурентами.</w:t>
      </w:r>
    </w:p>
    <w:p w:rsidR="00E16249" w:rsidRPr="00E16249" w:rsidRDefault="00E16249" w:rsidP="00F410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3. Методика структурного анализа позволяет предприятию разрабатывать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эффективную стратегию, которая, в свою очередь, позволит занять прочную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позицию при столкновении с различными конкурентными силами.</w:t>
      </w:r>
    </w:p>
    <w:p w:rsidR="00A82ACA" w:rsidRDefault="00A82ACA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i/>
          <w:iCs/>
          <w:sz w:val="28"/>
          <w:szCs w:val="28"/>
        </w:rPr>
      </w:pPr>
      <w:r>
        <w:rPr>
          <w:rFonts w:ascii="Times New Roman" w:eastAsia="TimesNewRoman" w:hAnsi="Times New Roman" w:cs="Times New Roman"/>
          <w:i/>
          <w:iCs/>
          <w:noProof/>
          <w:sz w:val="28"/>
          <w:szCs w:val="28"/>
          <w:lang w:eastAsia="ru-RU"/>
        </w:rPr>
        <w:drawing>
          <wp:inline distT="0" distB="0" distL="0" distR="0">
            <wp:extent cx="4523105" cy="4159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3105" cy="415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ACA" w:rsidRDefault="00A82ACA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i/>
          <w:iCs/>
          <w:sz w:val="28"/>
          <w:szCs w:val="28"/>
        </w:rPr>
      </w:pPr>
    </w:p>
    <w:p w:rsidR="00A82ACA" w:rsidRPr="00A82ACA" w:rsidRDefault="00A82ACA" w:rsidP="00A82AC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" w:hAnsi="Times New Roman" w:cs="Times New Roman"/>
          <w:i/>
          <w:iCs/>
          <w:sz w:val="28"/>
          <w:szCs w:val="28"/>
        </w:rPr>
      </w:pPr>
      <w:r w:rsidRPr="00A82ACA">
        <w:rPr>
          <w:rFonts w:ascii="Times New Roman" w:eastAsia="TimesNewRoman" w:hAnsi="Times New Roman" w:cs="Times New Roman"/>
          <w:sz w:val="24"/>
          <w:szCs w:val="24"/>
        </w:rPr>
        <w:t>Рис.1. Модель «пяти сил» конкурентной среды М. Портера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i/>
          <w:iCs/>
          <w:sz w:val="28"/>
          <w:szCs w:val="28"/>
        </w:rPr>
        <w:t>Угроза проникновения на рынок потенциальных конкурентов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. Ее вероятность определяется высотой существующих барьеров и уровнем усилий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необходимых для их преодоления. Наиболее серьезными барьерами для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проникновения являются эффект масштаба, величина необходимого для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проникновения на рынок капитала, возможность доступа к каналам 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распространении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>, эффект роста производительности, диверсификация.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Эффект масштаба. Он достигается тогда, когда общие постоянные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производственные затраты распределяются на большее количество продукции.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lastRenderedPageBreak/>
        <w:t>При этом многие расходы на единицу продукции, такие</w:t>
      </w:r>
      <w:r w:rsidR="00F41026">
        <w:rPr>
          <w:rFonts w:ascii="Times New Roman" w:eastAsia="TimesNewRoman" w:hAnsi="Times New Roman" w:cs="Times New Roman"/>
          <w:sz w:val="28"/>
          <w:szCs w:val="28"/>
        </w:rPr>
        <w:t>,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как расходы на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содержание складов, служб (бухгалтерии, охраны, экспедиции и пр.),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приобретение материалов и погрузочно-разгрузочные работы, по мере увеличения объемов производства снижаются. Эффект масштаба различен и зависит</w:t>
      </w:r>
      <w:r w:rsidR="00CA0A9D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от отрасли промышленности, в которой работает организация.</w:t>
      </w:r>
    </w:p>
    <w:p w:rsidR="00E16249" w:rsidRPr="00E16249" w:rsidRDefault="00E16249" w:rsidP="00CA0A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Потребности в капитале для проникновения на рынок. Они связаны эффектом масштаба и относятся к тем затратам, которые организация должна</w:t>
      </w:r>
    </w:p>
    <w:p w:rsidR="00E16249" w:rsidRPr="00E16249" w:rsidRDefault="00E16249" w:rsidP="00CA0A9D">
      <w:pPr>
        <w:spacing w:after="0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понести, чтобы внедриться в отрасль и успешно действовать в ней.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Доступ к каналам распространения. В данном случае речь идет о возможности доступа к эффективным и выгодным каналам распространения продукции или услуг.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Эффект роста производительности. Производительность возрастает по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мере того как рабочие, менеджеры и служащие осознают поставленные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задания и становятся опытнее. При этом улучшается соотношение «затраты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-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эффективность».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Диверсификация означает поставку на рынок продукта или услуг, которые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в глазах потребителя явно отличаются 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от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конкурирующих. Организации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которые могут провести диверсификацию, имеют возможность возведения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непреодолимых барьеров для проникновения новых конкурентов.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В целом эти препятствия для проникновения конкурентов в разных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отраслях промышленности различаются. При этом даже в пределах конкретной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отрасли одни барьеры более значительны, чем другие. Поэтому вне зависимости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от сферы производства разработчик стратегии должен определить, какие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препятствия реально существуют и в какой степени они усложняют проникновение на рынок при данных конкретных условиях среды.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i/>
          <w:iCs/>
          <w:sz w:val="28"/>
          <w:szCs w:val="28"/>
        </w:rPr>
        <w:t>Власть покупателей и власть поставщиков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. Покупатели и поставщики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конкурируют в отрасли из-за влияния на величину прибыли. Чем значительней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власть первых, тем более вероятно, что прибыль будет меньше. Власть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покупателей над поставщиками в отрасли зависит от целого ряда характеристик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положения на данном рынке. Власть покупателей, вероятнее всего, будет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велика при следующих обстоятельствах:</w:t>
      </w:r>
    </w:p>
    <w:p w:rsidR="00E16249" w:rsidRPr="00E16249" w:rsidRDefault="00E16249" w:rsidP="00E1624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когда покупатели сконцентрированы;</w:t>
      </w:r>
    </w:p>
    <w:p w:rsidR="00E16249" w:rsidRPr="00E16249" w:rsidRDefault="00E16249" w:rsidP="00E1624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есть альтернативные источники снабжения;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когда стоимость сырья составляет значительную часть общей стоимости продукции.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В этом случае покупатели будут более придирчивы к цене и окажут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экономическое давление на поставщиков.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Условия, при которых будет велика власть поставщиков, следующие: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поставщики сконцентрированы;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стоимость замены одного поставщика другим велика;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● покупатели </w:t>
      </w:r>
      <w:bookmarkStart w:id="0" w:name="_GoBack"/>
      <w:bookmarkEnd w:id="0"/>
      <w:r w:rsidRPr="00E16249">
        <w:rPr>
          <w:rFonts w:ascii="Times New Roman" w:eastAsia="TimesNewRoman" w:hAnsi="Times New Roman" w:cs="Times New Roman"/>
          <w:sz w:val="28"/>
          <w:szCs w:val="28"/>
        </w:rPr>
        <w:t>поставщика не имеют для него большого значения.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Если выполняется одно или более из этих условий, весьма вероятно, что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поставщик не будет придавать особого значения стабильным и долгосрочным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отношениям со своими покупателями.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i/>
          <w:iCs/>
          <w:sz w:val="28"/>
          <w:szCs w:val="28"/>
        </w:rPr>
        <w:lastRenderedPageBreak/>
        <w:t xml:space="preserve">Угрозы со стороны заменителей товара или услуги.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 общем смысле все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предприятия данной отрасли конкурируют с отраслями, производящими товары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заменители. Товары-заменители ограничивают потенциальную прибыльность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отрасли производства, определяя потолок </w:t>
      </w: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на те</w:t>
      </w:r>
      <w:proofErr w:type="gramEnd"/>
      <w:r w:rsidRPr="00E16249">
        <w:rPr>
          <w:rFonts w:ascii="Times New Roman" w:eastAsia="TimesNewRoman" w:hAnsi="Times New Roman" w:cs="Times New Roman"/>
          <w:sz w:val="28"/>
          <w:szCs w:val="28"/>
        </w:rPr>
        <w:t xml:space="preserve"> цены, которые предприятия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отрасли могли бы выгодно для себя установить. Анализ товаров-заменителей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включает выявление продукции, которая выполняет те же функции, что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и продукция, выпускаемая данной отраслью. Замена, таким образом, может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происходить по целому ряду различных направлений:</w:t>
      </w:r>
    </w:p>
    <w:p w:rsidR="00E16249" w:rsidRPr="00E16249" w:rsidRDefault="00E16249" w:rsidP="00E1624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прямая замена, т. е. когда один товар прямо заменяет другой;</w:t>
      </w:r>
    </w:p>
    <w:p w:rsidR="00E16249" w:rsidRPr="00E16249" w:rsidRDefault="00E16249" w:rsidP="00E1624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косвенная замена – один товар опосредованно заменяется другим,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способным выполнять сходные функции (так, например, искусственные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ткани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заменяют натуральные).</w:t>
      </w:r>
      <w:proofErr w:type="gramEnd"/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Сам факт возможности замены порождает важнейшие с точки зрения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стратегического планирования вопросы: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какова степень угрозы, что заменители (прямые или косвенные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)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повлияют на деятельность предприятия?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что должно делать предприятие, чтобы избежать угрозы появления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подобных заменителей?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Ответы на эти вопросы всегда носят конкретный, ситуационный характер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и могут быть получены в результате специально спланированных и проведенных исследований.</w:t>
      </w:r>
    </w:p>
    <w:p w:rsidR="00E16249" w:rsidRPr="00E16249" w:rsidRDefault="00E16249" w:rsidP="00753285">
      <w:pPr>
        <w:spacing w:after="0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i/>
          <w:iCs/>
          <w:sz w:val="28"/>
          <w:szCs w:val="28"/>
        </w:rPr>
        <w:t>Уровень конкурентной борьбы между традиционными конкурентами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Степень напряженности борьбы между существующими конкурентами также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важна и заслуживает рассмотрения в структурном анализе. В конце концов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интенсивность борьбы является важнейшей структурной особенностью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определяющей природу конкуренции в данной отрасли. Борьба обычно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возникает в связи с тем, что конкуренты ощущают давление или же видят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возможность улучшения своего положения в отрасли. М. Портер выделяет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следующие взаимодействующие</w:t>
      </w:r>
      <w:r w:rsidR="00F41026">
        <w:rPr>
          <w:rFonts w:ascii="Times New Roman" w:eastAsia="TimesNewRoman" w:hAnsi="Times New Roman" w:cs="Times New Roman"/>
          <w:sz w:val="28"/>
          <w:szCs w:val="28"/>
        </w:rPr>
        <w:t xml:space="preserve"> структурные факторы, которые в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едут к росту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F41026">
        <w:rPr>
          <w:rFonts w:ascii="Times New Roman" w:eastAsia="TimesNewRoman" w:hAnsi="Times New Roman" w:cs="Times New Roman"/>
          <w:sz w:val="28"/>
          <w:szCs w:val="28"/>
        </w:rPr>
        <w:t>интенсивности конкуренции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: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1. Сосуществование сбалансированных конкурентов. Такая ситуация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складывается, когда конкуренты имеют сходные характеристики. В этом случае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можно прогнозировать опасность жесткой конкуренции.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2. Сосуществование конкурентов на рынке медленного роста. На медленно растущих рынках конкуренты стремятся утвердиться в качестве лидеров.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3. Высокие постоянные затраты. Как указывает М. Портер, высокие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постоянные затраты оказывают сильное давление на все предприятия при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задействовании существующих производственных мощностей. Это вызывает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быстрое снижение цен при наличии свободных мощностей. Такая ситуация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может привести к войне цен и низкой прибыльности операций.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4. Необходимость индивидуализации продукции, которая ведет к преимуществу в конкуренции и защищает организацию от соперников в связи с тем, что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покупатели отдают предпочтение конкретным производителям. Ясно, что при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отсутствии диверсификации продукта трудно предотвратить метание покупателей между конкурентами.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lastRenderedPageBreak/>
        <w:t>5. Существование серьезных препятствий для выхода. Препятствия для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выхода – это экономические, стратегические, физические и эмоциональные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факторы, которые удерживают предприятие в деле, если даже оно, возможно,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получает малую или даже отрицательную отдачу от вложений. Могут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существовать следующие возможные препятствия для выхода: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специализированные активы: высокоспециализированные активы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такие, например, как оборудование для добычи природных ресурсов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разработанное для данных конкретных геологических условий, имеют низкую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ликвидную стоимость;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стратегическая взаимосвязь: связь между различными аспектами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деятельности организации в свете имиджа компании, изменения ее общей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стоимости и т. д.;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эмоциональные  препятствия, нежелание руководства принимать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правильные с экономической точки зрения решения из-за его солидарности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с бизнесом, лояльности к служащим, гордости и т. п.;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proofErr w:type="gramStart"/>
      <w:r w:rsidRPr="00E16249">
        <w:rPr>
          <w:rFonts w:ascii="Times New Roman" w:eastAsia="TimesNewRoman" w:hAnsi="Times New Roman" w:cs="Times New Roman"/>
          <w:sz w:val="28"/>
          <w:szCs w:val="28"/>
        </w:rPr>
        <w:t>● правительственные ограничения: нежелание правительства разрешить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выход в связи с опасениями отрицательных последствий (например, с точки</w:t>
      </w:r>
      <w:proofErr w:type="gramEnd"/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зрения уменьшения занятости), которые он может оказать на конкретный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регион или общество в целом.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Следует отметить, что модель «пяти сил» имеет возможности дальнейшего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развития и совершенствования. В частности, это относится к выделению двух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типов отношений между различными товарами: субститутами (товарами-заменителями) и дополнительными товарами (комплементарными). Если товары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>-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заменители уменьшают стоимость товара, то комплементарные товары способствуют возрастанию его стоимости.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Поставщики комплементарных товаров (</w:t>
      </w:r>
      <w:proofErr w:type="spellStart"/>
      <w:r w:rsidRPr="00E16249">
        <w:rPr>
          <w:rFonts w:ascii="Times New Roman" w:eastAsia="TimesNewRoman" w:hAnsi="Times New Roman" w:cs="Times New Roman"/>
          <w:sz w:val="28"/>
          <w:szCs w:val="28"/>
        </w:rPr>
        <w:t>комплементоры</w:t>
      </w:r>
      <w:proofErr w:type="spellEnd"/>
      <w:r w:rsidRPr="00E16249">
        <w:rPr>
          <w:rFonts w:ascii="Times New Roman" w:eastAsia="TimesNewRoman" w:hAnsi="Times New Roman" w:cs="Times New Roman"/>
          <w:sz w:val="28"/>
          <w:szCs w:val="28"/>
        </w:rPr>
        <w:t>) играют важную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роль в конкурентной среде большинства предприятий. Простейший способ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учесть роль дополнительных товаров состоит в том, чтобы добавить шестую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силу в модель «пяти сил» и проанализировать воздействие этих товаров на  рынок. Если товары непосредственно дополняют друг друга, то порознь они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имеют для потребителей весьма небольшую ценность – потребительскую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стоимость всей системы. Там, где два продукта дополняют друг друга, прибыль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накапливается у поставщика, который выстраивает более сильную рыночную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позицию и сокращает ценность, внесенную другими. Ключом к этому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усилению являются процессы монополизации, специализации и дефицит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поставки одного из комплектующих продуктов на фоне нарастающей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конкуренции и потребления, а также избыточные мощности для производства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="00F41026">
        <w:rPr>
          <w:rFonts w:ascii="Times New Roman" w:eastAsia="TimesNewRoman" w:hAnsi="Times New Roman" w:cs="Times New Roman"/>
          <w:sz w:val="28"/>
          <w:szCs w:val="28"/>
        </w:rPr>
        <w:t>дополнительного продукта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8"/>
          <w:szCs w:val="28"/>
        </w:rPr>
      </w:pPr>
      <w:proofErr w:type="gramStart"/>
      <w:r w:rsidRPr="00E16249">
        <w:rPr>
          <w:rFonts w:ascii="Times New Roman" w:eastAsia="TimesNewRoman" w:hAnsi="Times New Roman" w:cs="Times New Roman"/>
          <w:b/>
          <w:bCs/>
          <w:sz w:val="28"/>
          <w:szCs w:val="28"/>
        </w:rPr>
        <w:t>Методичес</w:t>
      </w:r>
      <w:r w:rsidR="00A82ACA">
        <w:rPr>
          <w:rFonts w:ascii="Times New Roman" w:eastAsia="TimesNewRoman" w:hAnsi="Times New Roman" w:cs="Times New Roman"/>
          <w:b/>
          <w:bCs/>
          <w:sz w:val="28"/>
          <w:szCs w:val="28"/>
        </w:rPr>
        <w:t>кие подходы</w:t>
      </w:r>
      <w:proofErr w:type="gramEnd"/>
      <w:r w:rsidR="00A82ACA">
        <w:rPr>
          <w:rFonts w:ascii="Times New Roman" w:eastAsia="TimesNewRoman" w:hAnsi="Times New Roman" w:cs="Times New Roman"/>
          <w:b/>
          <w:bCs/>
          <w:sz w:val="28"/>
          <w:szCs w:val="28"/>
        </w:rPr>
        <w:t xml:space="preserve"> к анализу отрасли Артур</w:t>
      </w:r>
      <w:r w:rsidR="00F41026">
        <w:rPr>
          <w:rFonts w:ascii="Times New Roman" w:eastAsia="TimesNewRoman" w:hAnsi="Times New Roman" w:cs="Times New Roman"/>
          <w:b/>
          <w:bCs/>
          <w:sz w:val="28"/>
          <w:szCs w:val="28"/>
        </w:rPr>
        <w:t>а Томпсона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Анализ общей ситуации и конкуренции в отрасли предполагает изучение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ее основных экономических характеристик.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К основным экономическим характеристикам отрасли относятся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следующие: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размер рынка;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масштаб конкуренции;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темпы роста рынка и этап его жизненного цикла;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lastRenderedPageBreak/>
        <w:t>● количество конкурентов и их относительные размеры (множество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мелких компаний и немного крупных);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количество покупателей и их относительные размеры;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степень интеграции основных конкурентов и ее направление по технологической цепочке;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каналы распространения продукции;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скорость технологических изменений в производстве и темпы разработки инновационных товаров;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степень дифференциации товаров (услуг) компаний-конкурентов;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возможность экономии на масштабе в закупках, производстве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транспортировке, маркетинге и рекламе;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компактность размещения основных компаний в определенных регионах;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наличие эффекта обучаемости, когда издержки на единицу продукции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снижаются по мере роста кумулятивного объема выпуска изделий в результате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накопления производственного опыта;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степень загрузки производственных мощностей как главное условие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снижения издержек производства;</w:t>
      </w:r>
    </w:p>
    <w:p w:rsidR="00E16249" w:rsidRPr="00E16249" w:rsidRDefault="00E16249" w:rsidP="00753285">
      <w:pPr>
        <w:spacing w:after="0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требуемый размер капиталовложений;</w:t>
      </w:r>
    </w:p>
    <w:p w:rsidR="00E16249" w:rsidRPr="00E16249" w:rsidRDefault="00E16249" w:rsidP="0075328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условия входа в отрасль и выхода из нее;</w:t>
      </w:r>
    </w:p>
    <w:p w:rsidR="00E16249" w:rsidRPr="00E16249" w:rsidRDefault="00E16249" w:rsidP="00E1624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● отраслевой показатель прибыльности.</w:t>
      </w:r>
    </w:p>
    <w:p w:rsidR="00E16249" w:rsidRDefault="00E16249" w:rsidP="00753285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E16249">
        <w:rPr>
          <w:rFonts w:ascii="Times New Roman" w:eastAsia="TimesNewRoman" w:hAnsi="Times New Roman" w:cs="Times New Roman"/>
          <w:sz w:val="28"/>
          <w:szCs w:val="28"/>
        </w:rPr>
        <w:t>Стратегическое значение основных характеристик отраслей приведено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6249">
        <w:rPr>
          <w:rFonts w:ascii="Times New Roman" w:eastAsia="TimesNewRoman" w:hAnsi="Times New Roman" w:cs="Times New Roman"/>
          <w:sz w:val="28"/>
          <w:szCs w:val="28"/>
        </w:rPr>
        <w:t>в табл. 2.</w:t>
      </w:r>
    </w:p>
    <w:p w:rsidR="00E16249" w:rsidRPr="00D22E14" w:rsidRDefault="00F41026" w:rsidP="00E1624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New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 xml:space="preserve">Таблица </w:t>
      </w:r>
      <w:r w:rsidR="00E16249" w:rsidRPr="00D22E14">
        <w:rPr>
          <w:rFonts w:ascii="Times New Roman" w:eastAsia="TimesNewRoman" w:hAnsi="Times New Roman" w:cs="Times New Roman"/>
          <w:sz w:val="28"/>
          <w:szCs w:val="28"/>
        </w:rPr>
        <w:t>2</w:t>
      </w:r>
    </w:p>
    <w:p w:rsidR="00E16249" w:rsidRPr="00D22E14" w:rsidRDefault="00E16249" w:rsidP="00E16249">
      <w:pPr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Стратегическое значение экономических характеристик отрасли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Экономическая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характеристика</w:t>
            </w:r>
          </w:p>
        </w:tc>
        <w:tc>
          <w:tcPr>
            <w:tcW w:w="5777" w:type="dxa"/>
          </w:tcPr>
          <w:p w:rsidR="00F41026" w:rsidRPr="00BC0004" w:rsidRDefault="00F41026" w:rsidP="00E16249">
            <w:pPr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Стратегическое значение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E16249">
            <w:pPr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Темпы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роста рынка</w:t>
            </w:r>
          </w:p>
        </w:tc>
        <w:tc>
          <w:tcPr>
            <w:tcW w:w="5777" w:type="dxa"/>
          </w:tcPr>
          <w:p w:rsidR="00BC0004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Быстро растущие рынки привлекают новых</w:t>
            </w:r>
          </w:p>
          <w:p w:rsidR="00BC0004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конкурентов, замедление темпов роста рынка</w:t>
            </w:r>
          </w:p>
          <w:p w:rsidR="00BC0004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усиливает конкуренцию и приводит к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вытеснению</w:t>
            </w:r>
          </w:p>
          <w:p w:rsidR="00F41026" w:rsidRPr="00BC0004" w:rsidRDefault="00BC0004" w:rsidP="00BC0004">
            <w:pPr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слабых компаний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Излишек или недостаток </w:t>
            </w:r>
            <w:proofErr w:type="gramStart"/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производственных</w:t>
            </w:r>
            <w:proofErr w:type="gramEnd"/>
          </w:p>
          <w:p w:rsidR="00F41026" w:rsidRPr="00F41026" w:rsidRDefault="00F41026" w:rsidP="00F41026">
            <w:pPr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мощностей</w:t>
            </w:r>
          </w:p>
        </w:tc>
        <w:tc>
          <w:tcPr>
            <w:tcW w:w="5777" w:type="dxa"/>
          </w:tcPr>
          <w:p w:rsidR="00F41026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Излишек производственных мощностей приводит к падению цен и доходов компании, недостаток мощностей – к росту обоих показателей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Прибыльность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отрасли</w:t>
            </w:r>
          </w:p>
        </w:tc>
        <w:tc>
          <w:tcPr>
            <w:tcW w:w="5777" w:type="dxa"/>
          </w:tcPr>
          <w:p w:rsidR="00F41026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Высокорентабельные отрасли привлекают на рынок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новые компании, низкорентабельные стимулируют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уход компаний в другие отрасли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Условия входа на рынок и выхода из него</w:t>
            </w:r>
          </w:p>
        </w:tc>
        <w:tc>
          <w:tcPr>
            <w:tcW w:w="5777" w:type="dxa"/>
          </w:tcPr>
          <w:p w:rsidR="00BC0004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Высокие входные барьеры способствуют сохранению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позиции и доходов уже существующих компаний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,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незначительные препятствия стимулируют появление</w:t>
            </w:r>
          </w:p>
          <w:p w:rsidR="00F41026" w:rsidRPr="00BC0004" w:rsidRDefault="00BC0004" w:rsidP="00BC0004">
            <w:pPr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новых конкурентов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lastRenderedPageBreak/>
              <w:t>Себестоимость и значимость продукции</w:t>
            </w:r>
          </w:p>
        </w:tc>
        <w:tc>
          <w:tcPr>
            <w:tcW w:w="5777" w:type="dxa"/>
          </w:tcPr>
          <w:p w:rsidR="00F41026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Большинство покупателей скорее заинтересовано в снижении цен на крупные и дорогие предметы потребления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,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чем на небольшие или дешевые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Стандартизация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продукции</w:t>
            </w:r>
          </w:p>
        </w:tc>
        <w:tc>
          <w:tcPr>
            <w:tcW w:w="5777" w:type="dxa"/>
          </w:tcPr>
          <w:p w:rsidR="00F41026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Чем выше стандартизация продукции, тем сильнее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давление со стороны покупателей, поскольку им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легче перейти от одного производителя к другому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Быстрые изменения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в технологии</w:t>
            </w:r>
          </w:p>
        </w:tc>
        <w:tc>
          <w:tcPr>
            <w:tcW w:w="5777" w:type="dxa"/>
          </w:tcPr>
          <w:p w:rsidR="00F41026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Фактор, повышающий риск вхождения в отрасль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;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оборудование и устройства морально устаревают до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того, как полностью автоматизируются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Требования к стартовому капиталу</w:t>
            </w:r>
          </w:p>
        </w:tc>
        <w:tc>
          <w:tcPr>
            <w:tcW w:w="5777" w:type="dxa"/>
          </w:tcPr>
          <w:p w:rsidR="00F41026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Высокие требования к размеру стартового капитала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представляют собой существенный барьер для входа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и выхода из отрасли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Вертикальная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интеграция</w:t>
            </w:r>
          </w:p>
        </w:tc>
        <w:tc>
          <w:tcPr>
            <w:tcW w:w="5777" w:type="dxa"/>
          </w:tcPr>
          <w:p w:rsidR="00F41026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Увеличивает требования к стартовому капиталу, влияет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на характер конкуренции и уровень издержек производства у сильн</w:t>
            </w:r>
            <w:proofErr w:type="gramStart"/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о-</w:t>
            </w:r>
            <w:proofErr w:type="gramEnd"/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и </w:t>
            </w:r>
            <w:proofErr w:type="spellStart"/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слабоинтегрированных</w:t>
            </w:r>
            <w:proofErr w:type="spellEnd"/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компаний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Экономия на масштабе</w:t>
            </w:r>
          </w:p>
        </w:tc>
        <w:tc>
          <w:tcPr>
            <w:tcW w:w="5777" w:type="dxa"/>
          </w:tcPr>
          <w:p w:rsidR="00BC0004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Увеличивает объем производства и долю рынка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,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необходимые для обеспечения конкурентоспособного</w:t>
            </w:r>
          </w:p>
          <w:p w:rsidR="00F41026" w:rsidRPr="00BC0004" w:rsidRDefault="00BC0004" w:rsidP="00BC0004">
            <w:pPr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уровня издержек на единицу продукции</w:t>
            </w:r>
          </w:p>
        </w:tc>
      </w:tr>
      <w:tr w:rsidR="00F41026" w:rsidTr="00F41026">
        <w:tc>
          <w:tcPr>
            <w:tcW w:w="3794" w:type="dxa"/>
          </w:tcPr>
          <w:p w:rsidR="00F41026" w:rsidRPr="00F41026" w:rsidRDefault="00F41026" w:rsidP="00F41026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Быстрое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совершенствование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F41026">
              <w:rPr>
                <w:rFonts w:ascii="Times New Roman" w:eastAsia="TimesNewRoman" w:hAnsi="Times New Roman" w:cs="Times New Roman"/>
                <w:sz w:val="28"/>
                <w:szCs w:val="28"/>
              </w:rPr>
              <w:t>продукции</w:t>
            </w:r>
          </w:p>
        </w:tc>
        <w:tc>
          <w:tcPr>
            <w:tcW w:w="5777" w:type="dxa"/>
          </w:tcPr>
          <w:p w:rsidR="00F41026" w:rsidRPr="00BC0004" w:rsidRDefault="00BC0004" w:rsidP="00BC0004">
            <w:pPr>
              <w:autoSpaceDE w:val="0"/>
              <w:autoSpaceDN w:val="0"/>
              <w:adjustRightInd w:val="0"/>
              <w:rPr>
                <w:rFonts w:ascii="Times New Roman" w:eastAsia="TimesNewRoman" w:hAnsi="Times New Roman" w:cs="Times New Roman"/>
                <w:sz w:val="28"/>
                <w:szCs w:val="28"/>
              </w:rPr>
            </w:pP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Сокращает жизненный цикл товара, увеличивает риск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ввиду опасности быстрого введения на рынок новых</w:t>
            </w:r>
            <w:r>
              <w:rPr>
                <w:rFonts w:ascii="Times New Roman" w:eastAsia="TimesNewRoman" w:hAnsi="Times New Roman" w:cs="Times New Roman"/>
                <w:sz w:val="28"/>
                <w:szCs w:val="28"/>
              </w:rPr>
              <w:t xml:space="preserve"> </w:t>
            </w:r>
            <w:r w:rsidRPr="00BC0004">
              <w:rPr>
                <w:rFonts w:ascii="Times New Roman" w:eastAsia="TimesNewRoman" w:hAnsi="Times New Roman" w:cs="Times New Roman"/>
                <w:sz w:val="28"/>
                <w:szCs w:val="28"/>
              </w:rPr>
              <w:t>моделей товара конкурентами</w:t>
            </w:r>
          </w:p>
        </w:tc>
      </w:tr>
    </w:tbl>
    <w:p w:rsidR="00E16249" w:rsidRPr="00D22E14" w:rsidRDefault="00E16249" w:rsidP="00E16249">
      <w:pPr>
        <w:rPr>
          <w:rFonts w:ascii="Times New Roman" w:eastAsia="TimesNewRoman" w:hAnsi="Times New Roman" w:cs="Times New Roman"/>
          <w:sz w:val="28"/>
          <w:szCs w:val="28"/>
        </w:rPr>
      </w:pPr>
    </w:p>
    <w:p w:rsidR="00E16249" w:rsidRPr="00D22E14" w:rsidRDefault="00E16249" w:rsidP="00E162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D22E14">
        <w:rPr>
          <w:rFonts w:ascii="Times New Roman" w:hAnsi="Times New Roman" w:cs="Times New Roman"/>
          <w:i/>
          <w:iCs/>
          <w:sz w:val="28"/>
          <w:szCs w:val="28"/>
        </w:rPr>
        <w:t>Общие результаты анализа отрасли включают оценку:</w:t>
      </w:r>
    </w:p>
    <w:p w:rsidR="00E16249" w:rsidRPr="00D22E14" w:rsidRDefault="00E16249" w:rsidP="00E1624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● основных экономических характеристик отрасли;</w:t>
      </w:r>
    </w:p>
    <w:p w:rsidR="00E16249" w:rsidRPr="00D22E14" w:rsidRDefault="00E16249" w:rsidP="00E16249">
      <w:pPr>
        <w:autoSpaceDE w:val="0"/>
        <w:autoSpaceDN w:val="0"/>
        <w:adjustRightInd w:val="0"/>
        <w:spacing w:after="0" w:line="240" w:lineRule="auto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● форм и интенсивности конкуренции;</w:t>
      </w:r>
    </w:p>
    <w:p w:rsidR="00E16249" w:rsidRPr="00D22E14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● причин изменений в структуре конкуренции и внешней среде;</w:t>
      </w:r>
    </w:p>
    <w:p w:rsidR="00E16249" w:rsidRPr="00D22E14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● ключевых факторов успеха;</w:t>
      </w:r>
    </w:p>
    <w:p w:rsidR="00E16249" w:rsidRPr="00D22E14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● общей привлекательности отрасли и перспективы обеспечения ее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прибыльности.</w:t>
      </w:r>
    </w:p>
    <w:p w:rsidR="00E16249" w:rsidRPr="00D22E14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Конкурентный анализ общей ситуации в отрасли и конкуренции – важная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предпосылка для разработки эффективной стратегии, основанной на ясной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и объективной картине внешней среды, в которой действует предприятие.</w:t>
      </w:r>
    </w:p>
    <w:p w:rsidR="00E16249" w:rsidRPr="00D22E14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Конкурентный анализ отрасли необходим для рассмотрения ее конкурентоспособности, он является основой для проведения подробнейшего анализа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отрасли и ее структуры.</w:t>
      </w:r>
    </w:p>
    <w:p w:rsidR="00E16249" w:rsidRPr="00D22E14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Общий вывод конкурентного анализа характеризует перспективы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 xml:space="preserve">развития отрасли и ее привлекательность для бизнеса. У конкретного предприятия могут существовать свои дополнительные критерии привлекательности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lastRenderedPageBreak/>
        <w:t>отрасли. Даже если ситуация в отрасли однозначно ухудшается, в отдельных случаях это может пойти на пользу каким-то предприятиям, помочь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им осуществлять свои стратегии. Например, это может способствовать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укреплению позиций лидера отрасли. Сильные предприятия могут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использовать неустойчивость слабых конкурентов в своих целях. Предприятие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может быть изолировано или может подготовить достаточно сильную защиту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в отношении факторов, которые делают отрасль в целом непривлекательной.</w:t>
      </w:r>
    </w:p>
    <w:p w:rsidR="00E16249" w:rsidRPr="00D22E14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Кроме того, может сложиться ситуация, когда продолжение работы в данной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отрасли важно с точки зрения достижения успеха в других отраслях, где</w:t>
      </w:r>
      <w:r w:rsidR="00753285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у предприятия есть интересы.</w:t>
      </w:r>
    </w:p>
    <w:p w:rsidR="00E16249" w:rsidRPr="00D22E14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Таким образом, данный подход достаточно интересен своими выводами.</w:t>
      </w:r>
    </w:p>
    <w:p w:rsidR="00E16249" w:rsidRPr="00D22E14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Он дает возможность проанализировать конкретную ситуацию в отрасли</w:t>
      </w:r>
      <w:r w:rsidR="00052D70">
        <w:rPr>
          <w:rFonts w:ascii="Times New Roman" w:eastAsia="TimesNewRoman" w:hAnsi="Times New Roman" w:cs="Times New Roman"/>
          <w:sz w:val="28"/>
          <w:szCs w:val="28"/>
        </w:rPr>
        <w:t xml:space="preserve">, </w:t>
      </w:r>
      <w:r w:rsidRPr="00D22E14">
        <w:rPr>
          <w:rFonts w:ascii="Times New Roman" w:eastAsia="TimesNewRoman" w:hAnsi="Times New Roman" w:cs="Times New Roman"/>
          <w:sz w:val="28"/>
          <w:szCs w:val="28"/>
        </w:rPr>
        <w:t>определить главные экономические характеристики, рассмотреть ключевые</w:t>
      </w:r>
    </w:p>
    <w:p w:rsidR="00E16249" w:rsidRPr="00D22E14" w:rsidRDefault="00E16249" w:rsidP="007532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8"/>
          <w:szCs w:val="28"/>
        </w:rPr>
      </w:pPr>
      <w:r w:rsidRPr="00D22E14">
        <w:rPr>
          <w:rFonts w:ascii="Times New Roman" w:eastAsia="TimesNewRoman" w:hAnsi="Times New Roman" w:cs="Times New Roman"/>
          <w:sz w:val="28"/>
          <w:szCs w:val="28"/>
        </w:rPr>
        <w:t>факторы успеха отрасли и перспективы ее развития.</w:t>
      </w:r>
    </w:p>
    <w:p w:rsidR="00E16249" w:rsidRPr="00E16249" w:rsidRDefault="00E16249" w:rsidP="00E16249">
      <w:pPr>
        <w:rPr>
          <w:rFonts w:cs="Times New Roman"/>
          <w:sz w:val="28"/>
          <w:szCs w:val="28"/>
        </w:rPr>
      </w:pPr>
      <w:r>
        <w:rPr>
          <w:rFonts w:ascii="TimesNewRoman,Bold" w:eastAsia="TimesNewRoman" w:hAnsi="TimesNewRoman,Bold" w:cs="TimesNewRoman,Bold"/>
          <w:b/>
          <w:bCs/>
          <w:sz w:val="28"/>
          <w:szCs w:val="28"/>
        </w:rPr>
        <w:t xml:space="preserve"> </w:t>
      </w:r>
    </w:p>
    <w:sectPr w:rsidR="00E16249" w:rsidRPr="00E162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6ECA"/>
    <w:multiLevelType w:val="hybridMultilevel"/>
    <w:tmpl w:val="26889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C1E"/>
    <w:rsid w:val="00052D70"/>
    <w:rsid w:val="00066FCA"/>
    <w:rsid w:val="00255F3D"/>
    <w:rsid w:val="00292F5A"/>
    <w:rsid w:val="00666F4B"/>
    <w:rsid w:val="00753285"/>
    <w:rsid w:val="00A82ACA"/>
    <w:rsid w:val="00AB024D"/>
    <w:rsid w:val="00BC0004"/>
    <w:rsid w:val="00BD6852"/>
    <w:rsid w:val="00C91A7C"/>
    <w:rsid w:val="00CA0A9D"/>
    <w:rsid w:val="00D22E14"/>
    <w:rsid w:val="00DA2C1E"/>
    <w:rsid w:val="00E10062"/>
    <w:rsid w:val="00E16249"/>
    <w:rsid w:val="00F4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AC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1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410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A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AC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91A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F41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13</Pages>
  <Words>4246</Words>
  <Characters>24207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7</cp:revision>
  <dcterms:created xsi:type="dcterms:W3CDTF">2022-11-22T18:36:00Z</dcterms:created>
  <dcterms:modified xsi:type="dcterms:W3CDTF">2022-11-23T10:06:00Z</dcterms:modified>
</cp:coreProperties>
</file>