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4A" w:rsidRPr="00F71A90" w:rsidRDefault="00FB384A" w:rsidP="00FB384A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1A90">
        <w:rPr>
          <w:rFonts w:ascii="Times New Roman" w:hAnsi="Times New Roman" w:cs="Times New Roman"/>
          <w:b/>
          <w:sz w:val="32"/>
          <w:szCs w:val="28"/>
        </w:rPr>
        <w:t>ФОНД ОЦЕНОЧНЫХ СРЕДСТВ</w:t>
      </w:r>
    </w:p>
    <w:p w:rsidR="00FB384A" w:rsidRPr="00F71A90" w:rsidRDefault="00FB384A" w:rsidP="00FB38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384A" w:rsidRPr="00F71A90" w:rsidRDefault="00FB384A" w:rsidP="00FB3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 xml:space="preserve">для проведения текущего контроля и промежуточной аттестации студентов </w:t>
      </w:r>
      <w:r w:rsidRPr="00F71A90">
        <w:rPr>
          <w:rFonts w:ascii="Times New Roman" w:hAnsi="Times New Roman" w:cs="Times New Roman"/>
          <w:sz w:val="28"/>
          <w:szCs w:val="28"/>
        </w:rPr>
        <w:br/>
        <w:t>по дисциплине</w:t>
      </w:r>
      <w:r w:rsidRPr="00F71A90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Медиапланирование</w:t>
      </w:r>
      <w:proofErr w:type="spellEnd"/>
      <w:r w:rsidRPr="00F71A90">
        <w:rPr>
          <w:rFonts w:ascii="Times New Roman" w:hAnsi="Times New Roman" w:cs="Times New Roman"/>
          <w:b/>
          <w:sz w:val="28"/>
          <w:szCs w:val="28"/>
        </w:rPr>
        <w:t>»</w:t>
      </w:r>
    </w:p>
    <w:p w:rsidR="00FB384A" w:rsidRPr="00F71A90" w:rsidRDefault="00FB384A" w:rsidP="00FB38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384A" w:rsidRPr="00F71A90" w:rsidRDefault="00FB384A" w:rsidP="00FB38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Направление 4</w:t>
      </w:r>
      <w:r>
        <w:rPr>
          <w:rFonts w:ascii="Times New Roman" w:hAnsi="Times New Roman" w:cs="Times New Roman"/>
          <w:sz w:val="28"/>
          <w:szCs w:val="28"/>
        </w:rPr>
        <w:t>2.03.01</w:t>
      </w:r>
      <w:r w:rsidRPr="00F71A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FB384A" w:rsidRPr="00F71A90" w:rsidRDefault="00FB384A" w:rsidP="00FB38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Профиль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FB384A" w:rsidRDefault="00FB384A" w:rsidP="00FB384A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FB384A" w:rsidRPr="0025679D" w:rsidRDefault="00FB384A" w:rsidP="00FB384A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ED05FA" w:rsidRDefault="00ED05FA"/>
    <w:p w:rsidR="004550AD" w:rsidRPr="00F71A90" w:rsidRDefault="004550AD" w:rsidP="004550AD">
      <w:pPr>
        <w:pStyle w:val="1"/>
        <w:jc w:val="center"/>
      </w:pPr>
      <w:r w:rsidRPr="00F71A90">
        <w:t>2. ОЦЕНОЧНЫЕ СРЕДСТВА</w:t>
      </w:r>
    </w:p>
    <w:p w:rsidR="004550AD" w:rsidRPr="00F71A90" w:rsidRDefault="004550AD" w:rsidP="00455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550AD" w:rsidRDefault="004550AD" w:rsidP="00455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4550AD" w:rsidRDefault="004550AD" w:rsidP="00455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550AD" w:rsidRDefault="004550AD" w:rsidP="00455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4550AD" w:rsidRPr="00F71A90" w:rsidRDefault="004550AD" w:rsidP="00455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D96" w:rsidRP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72D96">
        <w:rPr>
          <w:rFonts w:ascii="Times New Roman" w:eastAsia="Times New Roman" w:hAnsi="Times New Roman" w:cs="Times New Roman"/>
          <w:sz w:val="24"/>
          <w:szCs w:val="24"/>
          <w:lang w:eastAsia="ar-SA"/>
        </w:rPr>
        <w:t>Кейс-задача (</w:t>
      </w:r>
      <w:r w:rsidR="00370722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472D96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(ОПК-2)</w:t>
      </w:r>
    </w:p>
    <w:p w:rsidR="00472D96" w:rsidRP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D29E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</w:t>
      </w:r>
      <w:r w:rsidRPr="00472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(10) (ОПК-2)</w:t>
      </w:r>
    </w:p>
    <w:p w:rsidR="00472D96" w:rsidRP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72D96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(</w:t>
      </w:r>
      <w:r w:rsidR="00370722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472D96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(ОПК-2)</w:t>
      </w:r>
    </w:p>
    <w:p w:rsidR="00472D96" w:rsidRP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72D96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(20) (ОПК-2)</w:t>
      </w:r>
    </w:p>
    <w:p w:rsidR="004550AD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72D96">
        <w:rPr>
          <w:rFonts w:ascii="Times New Roman" w:eastAsia="Times New Roman" w:hAnsi="Times New Roman" w:cs="Times New Roman"/>
          <w:sz w:val="24"/>
          <w:szCs w:val="24"/>
          <w:lang w:eastAsia="ar-SA"/>
        </w:rPr>
        <w:t>Аттестация с оценкой (40) (ОПК-2)</w:t>
      </w: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D96" w:rsidRPr="00B34DAD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Кейс-задача (до </w:t>
      </w:r>
      <w:r w:rsidR="003707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472D96" w:rsidRPr="007B22EF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(ОПК-2).</w:t>
      </w:r>
    </w:p>
    <w:p w:rsidR="00025CC4" w:rsidRPr="00025CC4" w:rsidRDefault="00025CC4" w:rsidP="00025CC4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r w:rsidRPr="00025CC4">
        <w:rPr>
          <w:rFonts w:ascii="Times New Roman" w:hAnsi="Times New Roman" w:cs="Times New Roman"/>
        </w:rPr>
        <w:t xml:space="preserve">Шкала оценивания </w:t>
      </w:r>
      <w:proofErr w:type="gramStart"/>
      <w:r w:rsidRPr="00025CC4">
        <w:rPr>
          <w:rFonts w:ascii="Times New Roman" w:hAnsi="Times New Roman" w:cs="Times New Roman"/>
        </w:rPr>
        <w:t>кейс-заданий</w:t>
      </w:r>
      <w:proofErr w:type="gramEnd"/>
      <w:r w:rsidRPr="00025CC4">
        <w:rPr>
          <w:rFonts w:ascii="Times New Roman" w:hAnsi="Times New Roman" w:cs="Times New Roman"/>
        </w:rPr>
        <w:t xml:space="preserve"> 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При выполнении </w:t>
      </w:r>
      <w:proofErr w:type="gramStart"/>
      <w:r w:rsidRPr="00025CC4">
        <w:rPr>
          <w:rFonts w:ascii="Times New Roman" w:hAnsi="Times New Roman" w:cs="Times New Roman"/>
        </w:rPr>
        <w:t>кейс-задания</w:t>
      </w:r>
      <w:proofErr w:type="gramEnd"/>
      <w:r w:rsidRPr="00025CC4">
        <w:rPr>
          <w:rFonts w:ascii="Times New Roman" w:hAnsi="Times New Roman" w:cs="Times New Roman"/>
        </w:rPr>
        <w:t xml:space="preserve"> оцениваются следующие критерии: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степень полноты и правильность решения; аргументация выбранной стратегии решения; время решения задания; соответствие профессионально-этическим нормам.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1. Степень полноты и правильность решения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proofErr w:type="gramStart"/>
      <w:r w:rsidRPr="00025CC4">
        <w:rPr>
          <w:rFonts w:ascii="Times New Roman" w:hAnsi="Times New Roman" w:cs="Times New Roman"/>
        </w:rPr>
        <w:t>верно</w:t>
      </w:r>
      <w:proofErr w:type="gramEnd"/>
      <w:r w:rsidRPr="00025CC4">
        <w:rPr>
          <w:rFonts w:ascii="Times New Roman" w:hAnsi="Times New Roman" w:cs="Times New Roman"/>
        </w:rPr>
        <w:t xml:space="preserve"> определена проблема (названа суть проблемы), найдено решение, верно перечислены возможные признаки, по которым можно понять, что проблема решена или будет решена;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lastRenderedPageBreak/>
        <w:t>2 балла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одно решение,  верно перечислены возможные признаки, по которым можно понять, что проблема решена или будет решена;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решение, признаки, по которым можно понять, что проблема будет </w:t>
      </w:r>
      <w:proofErr w:type="gramStart"/>
      <w:r w:rsidRPr="00025CC4">
        <w:rPr>
          <w:rFonts w:ascii="Times New Roman" w:hAnsi="Times New Roman" w:cs="Times New Roman"/>
        </w:rPr>
        <w:t>решены</w:t>
      </w:r>
      <w:proofErr w:type="gramEnd"/>
      <w:r w:rsidRPr="00025CC4">
        <w:rPr>
          <w:rFonts w:ascii="Times New Roman" w:hAnsi="Times New Roman" w:cs="Times New Roman"/>
        </w:rPr>
        <w:t xml:space="preserve"> не названы;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баллов</w:t>
      </w:r>
      <w:r w:rsidRPr="00025CC4">
        <w:rPr>
          <w:rFonts w:ascii="Times New Roman" w:hAnsi="Times New Roman" w:cs="Times New Roman"/>
        </w:rPr>
        <w:t xml:space="preserve"> – проблема охарактеризована неверно.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2.</w:t>
      </w:r>
      <w:r w:rsidRPr="00025CC4">
        <w:rPr>
          <w:rFonts w:ascii="Times New Roman" w:hAnsi="Times New Roman" w:cs="Times New Roman"/>
        </w:rPr>
        <w:t xml:space="preserve"> </w:t>
      </w:r>
      <w:r w:rsidRPr="00025CC4">
        <w:rPr>
          <w:rFonts w:ascii="Times New Roman" w:hAnsi="Times New Roman" w:cs="Times New Roman"/>
          <w:b/>
        </w:rPr>
        <w:t>Аргументация выбранной стратегии решения проблемы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 xml:space="preserve">дается развернутая аргументация выбранной стратегии с указанием специфики целевой аудитории, типологии ситуации (кризисная, продвижение, кадровая смена, внедрение нового продукта, деловые переговоры, проведение </w:t>
      </w:r>
      <w:proofErr w:type="spellStart"/>
      <w:r w:rsidRPr="00025CC4">
        <w:rPr>
          <w:rFonts w:ascii="Times New Roman" w:hAnsi="Times New Roman" w:cs="Times New Roman"/>
          <w:lang w:val="en-US"/>
        </w:rPr>
        <w:t>pr</w:t>
      </w:r>
      <w:proofErr w:type="spellEnd"/>
      <w:r w:rsidRPr="00025CC4">
        <w:rPr>
          <w:rFonts w:ascii="Times New Roman" w:hAnsi="Times New Roman" w:cs="Times New Roman"/>
        </w:rPr>
        <w:t xml:space="preserve">-мероприятия и т.п.),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-субъекта;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 xml:space="preserve">в аргументации дана характеристика целевой аудитории,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ситуации;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- в аргументации дана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 и не дана характеристика целевой аудитории;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</w:t>
      </w:r>
      <w:r w:rsidRPr="00025CC4">
        <w:rPr>
          <w:rFonts w:ascii="Times New Roman" w:hAnsi="Times New Roman" w:cs="Times New Roman"/>
        </w:rPr>
        <w:t xml:space="preserve"> – аргументации нет.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3. Время решения задания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>первый ответ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>второй ответ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>третий ответ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последующие ответы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</w:rPr>
      </w:pP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4. Соответствие профессионально-этическим нормам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 xml:space="preserve">соответствует </w:t>
      </w:r>
    </w:p>
    <w:p w:rsidR="00025CC4" w:rsidRPr="00025CC4" w:rsidRDefault="00025CC4" w:rsidP="00025CC4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не соответствует</w:t>
      </w:r>
    </w:p>
    <w:bookmarkEnd w:id="0"/>
    <w:p w:rsidR="00472D96" w:rsidRDefault="00472D96" w:rsidP="00472D96">
      <w:pPr>
        <w:pStyle w:val="1"/>
        <w:spacing w:before="0" w:line="240" w:lineRule="auto"/>
      </w:pPr>
    </w:p>
    <w:p w:rsidR="00472D96" w:rsidRDefault="00472D96" w:rsidP="00472D96">
      <w:pPr>
        <w:pStyle w:val="1"/>
        <w:spacing w:before="0" w:line="240" w:lineRule="auto"/>
      </w:pPr>
      <w:r>
        <w:t>2.</w:t>
      </w:r>
      <w:r w:rsidRPr="00F95A72">
        <w:t>2</w:t>
      </w:r>
      <w:r>
        <w:t>.</w:t>
      </w:r>
      <w:r w:rsidRPr="00F95A72">
        <w:t xml:space="preserve"> Тест</w:t>
      </w:r>
      <w:r>
        <w:t xml:space="preserve"> (до </w:t>
      </w:r>
      <w:r w:rsidR="00370722">
        <w:t>2</w:t>
      </w:r>
      <w:r>
        <w:t>0 баллов)</w:t>
      </w:r>
    </w:p>
    <w:p w:rsidR="00472D96" w:rsidRPr="007B22EF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(ОПК-2).</w:t>
      </w: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D29E6" w:rsidRPr="00893310" w:rsidRDefault="00BD29E6" w:rsidP="00BD2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составлен как классический тест (задание с единственным правильным ответом – альтернативный выбор).</w:t>
      </w:r>
    </w:p>
    <w:p w:rsidR="00BD29E6" w:rsidRDefault="00BD29E6" w:rsidP="00BD29E6">
      <w:pPr>
        <w:rPr>
          <w:rFonts w:ascii="Times New Roman" w:hAnsi="Times New Roman" w:cs="Times New Roman"/>
          <w:sz w:val="24"/>
        </w:rPr>
      </w:pPr>
    </w:p>
    <w:p w:rsidR="00BD29E6" w:rsidRPr="00893310" w:rsidRDefault="00BD29E6" w:rsidP="00BD2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верный ответ. </w:t>
      </w:r>
    </w:p>
    <w:p w:rsidR="00BD29E6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 в соответствии с рейтингом – 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0 баллов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рубежный срез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D29E6" w:rsidRPr="00893310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Два рубежных среза – 20 баллов.</w:t>
      </w:r>
    </w:p>
    <w:p w:rsidR="005C579E" w:rsidRDefault="005C579E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 w:rsidRPr="00BD29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</w:t>
      </w:r>
      <w:r w:rsidR="005C579E" w:rsidRPr="00BD29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еферат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(до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472D96" w:rsidRPr="007B22EF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(ОПК-2).</w:t>
      </w:r>
    </w:p>
    <w:p w:rsidR="00BD29E6" w:rsidRPr="0054299A" w:rsidRDefault="00BD29E6" w:rsidP="00BD2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299A">
        <w:rPr>
          <w:rFonts w:ascii="Times New Roman" w:hAnsi="Times New Roman" w:cs="Times New Roman"/>
          <w:b/>
          <w:sz w:val="24"/>
          <w:szCs w:val="24"/>
        </w:rPr>
        <w:t>Требования к написанию рефератов:</w:t>
      </w:r>
    </w:p>
    <w:p w:rsidR="00BD29E6" w:rsidRPr="0054299A" w:rsidRDefault="00BD29E6" w:rsidP="00BD29E6">
      <w:pPr>
        <w:pStyle w:val="a3"/>
        <w:spacing w:before="0" w:beforeAutospacing="0" w:after="0"/>
        <w:ind w:firstLine="720"/>
        <w:jc w:val="both"/>
        <w:rPr>
          <w:rFonts w:eastAsiaTheme="minorHAnsi"/>
          <w:sz w:val="24"/>
          <w:szCs w:val="24"/>
          <w:lang w:eastAsia="en-US"/>
        </w:rPr>
      </w:pPr>
      <w:r w:rsidRPr="0054299A">
        <w:rPr>
          <w:rFonts w:eastAsiaTheme="minorHAnsi"/>
          <w:sz w:val="24"/>
          <w:szCs w:val="24"/>
          <w:lang w:eastAsia="en-US"/>
        </w:rPr>
        <w:t>Реферат должен быть напечатан на компьютере (лис</w:t>
      </w:r>
      <w:proofErr w:type="gramStart"/>
      <w:r w:rsidRPr="0054299A">
        <w:rPr>
          <w:rFonts w:eastAsiaTheme="minorHAnsi"/>
          <w:sz w:val="24"/>
          <w:szCs w:val="24"/>
          <w:lang w:eastAsia="en-US"/>
        </w:rPr>
        <w:t>т-</w:t>
      </w:r>
      <w:proofErr w:type="gramEnd"/>
      <w:r w:rsidRPr="0054299A">
        <w:rPr>
          <w:rFonts w:eastAsiaTheme="minorHAnsi"/>
          <w:sz w:val="24"/>
          <w:szCs w:val="24"/>
          <w:lang w:eastAsia="en-US"/>
        </w:rPr>
        <w:t xml:space="preserve"> формат А4, поля: верхнее-20мм, нижнее-</w:t>
      </w:r>
      <w:smartTag w:uri="urn:schemas-microsoft-com:office:smarttags" w:element="metricconverter">
        <w:smartTagPr>
          <w:attr w:name="ProductID" w:val="20 мм"/>
        </w:smartTagPr>
        <w:r w:rsidRPr="0054299A">
          <w:rPr>
            <w:rFonts w:eastAsiaTheme="minorHAnsi"/>
            <w:sz w:val="24"/>
            <w:szCs w:val="24"/>
            <w:lang w:eastAsia="en-US"/>
          </w:rPr>
          <w:t>20 мм</w:t>
        </w:r>
      </w:smartTag>
      <w:r w:rsidRPr="0054299A">
        <w:rPr>
          <w:rFonts w:eastAsiaTheme="minorHAnsi"/>
          <w:sz w:val="24"/>
          <w:szCs w:val="24"/>
          <w:lang w:eastAsia="en-US"/>
        </w:rPr>
        <w:t>, правое-</w:t>
      </w:r>
      <w:smartTag w:uri="urn:schemas-microsoft-com:office:smarttags" w:element="metricconverter">
        <w:smartTagPr>
          <w:attr w:name="ProductID" w:val="15 мм"/>
        </w:smartTagPr>
        <w:r w:rsidRPr="0054299A">
          <w:rPr>
            <w:rFonts w:eastAsiaTheme="minorHAnsi"/>
            <w:sz w:val="24"/>
            <w:szCs w:val="24"/>
            <w:lang w:eastAsia="en-US"/>
          </w:rPr>
          <w:t>15 мм</w:t>
        </w:r>
      </w:smartTag>
      <w:r w:rsidRPr="0054299A">
        <w:rPr>
          <w:rFonts w:eastAsiaTheme="minorHAnsi"/>
          <w:sz w:val="24"/>
          <w:szCs w:val="24"/>
          <w:lang w:eastAsia="en-US"/>
        </w:rPr>
        <w:t xml:space="preserve">, левое </w:t>
      </w:r>
      <w:smartTag w:uri="urn:schemas-microsoft-com:office:smarttags" w:element="metricconverter">
        <w:smartTagPr>
          <w:attr w:name="ProductID" w:val="30 мм"/>
        </w:smartTagPr>
        <w:r w:rsidRPr="0054299A">
          <w:rPr>
            <w:rFonts w:eastAsiaTheme="minorHAnsi"/>
            <w:sz w:val="24"/>
            <w:szCs w:val="24"/>
            <w:lang w:eastAsia="en-US"/>
          </w:rPr>
          <w:t>30 мм</w:t>
        </w:r>
      </w:smartTag>
      <w:r w:rsidRPr="0054299A">
        <w:rPr>
          <w:rFonts w:eastAsiaTheme="minorHAnsi"/>
          <w:sz w:val="24"/>
          <w:szCs w:val="24"/>
          <w:lang w:eastAsia="en-US"/>
        </w:rPr>
        <w:t>). Листы должны быть пронумерованы, скреплены или подшиты. Объем реферата 10-15 стандартных листов формата А</w:t>
      </w:r>
      <w:proofErr w:type="gramStart"/>
      <w:r w:rsidRPr="0054299A">
        <w:rPr>
          <w:rFonts w:eastAsiaTheme="minorHAnsi"/>
          <w:sz w:val="24"/>
          <w:szCs w:val="24"/>
          <w:lang w:eastAsia="en-US"/>
        </w:rPr>
        <w:t>4</w:t>
      </w:r>
      <w:proofErr w:type="gramEnd"/>
      <w:r w:rsidRPr="0054299A">
        <w:rPr>
          <w:rFonts w:eastAsiaTheme="minorHAnsi"/>
          <w:sz w:val="24"/>
          <w:szCs w:val="24"/>
          <w:lang w:eastAsia="en-US"/>
        </w:rPr>
        <w:t xml:space="preserve">. </w:t>
      </w:r>
    </w:p>
    <w:p w:rsidR="00BD29E6" w:rsidRPr="0054299A" w:rsidRDefault="00BD29E6" w:rsidP="00BD29E6">
      <w:pPr>
        <w:pStyle w:val="a3"/>
        <w:spacing w:before="0" w:beforeAutospacing="0" w:after="0"/>
        <w:ind w:firstLine="720"/>
        <w:jc w:val="both"/>
        <w:rPr>
          <w:rFonts w:eastAsiaTheme="minorHAnsi"/>
          <w:sz w:val="24"/>
          <w:szCs w:val="24"/>
          <w:lang w:eastAsia="en-US"/>
        </w:rPr>
      </w:pPr>
    </w:p>
    <w:p w:rsidR="00BD29E6" w:rsidRPr="0054299A" w:rsidRDefault="00BD29E6" w:rsidP="00BD29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299A">
        <w:rPr>
          <w:rFonts w:ascii="Times New Roman" w:hAnsi="Times New Roman" w:cs="Times New Roman"/>
          <w:b/>
          <w:sz w:val="24"/>
          <w:szCs w:val="24"/>
        </w:rPr>
        <w:t>Структура реферата: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t xml:space="preserve">1) титульный лист; 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t>2) план работы с указанием страниц: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t>3) введение;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t xml:space="preserve">4) текстовое изложение материала, разбитое на вопросы и </w:t>
      </w:r>
      <w:proofErr w:type="spellStart"/>
      <w:r w:rsidRPr="0054299A">
        <w:rPr>
          <w:rFonts w:ascii="Times New Roman" w:hAnsi="Times New Roman" w:cs="Times New Roman"/>
          <w:sz w:val="24"/>
          <w:szCs w:val="24"/>
        </w:rPr>
        <w:t>подвопросы</w:t>
      </w:r>
      <w:proofErr w:type="spellEnd"/>
      <w:r w:rsidRPr="0054299A">
        <w:rPr>
          <w:rFonts w:ascii="Times New Roman" w:hAnsi="Times New Roman" w:cs="Times New Roman"/>
          <w:sz w:val="24"/>
          <w:szCs w:val="24"/>
        </w:rPr>
        <w:t xml:space="preserve"> (пункты, подпункты) с необходимыми ссылками на источники, использованные автором;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t>5) заключение;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lastRenderedPageBreak/>
        <w:t>6) список использованной литературы;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t>7) приложения, которые состоят из таблиц, графиков, рисунков, схем (необязательная часть реферата).</w:t>
      </w:r>
    </w:p>
    <w:p w:rsidR="00BD29E6" w:rsidRPr="0054299A" w:rsidRDefault="00BD29E6" w:rsidP="00BD2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</w:rPr>
        <w:t>Приложения располагаются последовательно, согласно заголовкам, отражающим их содержание.</w:t>
      </w:r>
    </w:p>
    <w:p w:rsidR="00BD29E6" w:rsidRPr="0054299A" w:rsidRDefault="00BD29E6" w:rsidP="00BD29E6">
      <w:pPr>
        <w:pStyle w:val="a3"/>
        <w:spacing w:before="0" w:beforeAutospacing="0" w:after="0"/>
        <w:ind w:firstLine="600"/>
        <w:jc w:val="both"/>
        <w:rPr>
          <w:rFonts w:eastAsiaTheme="minorHAnsi"/>
          <w:sz w:val="24"/>
          <w:szCs w:val="24"/>
          <w:lang w:eastAsia="en-US"/>
        </w:rPr>
      </w:pPr>
      <w:r w:rsidRPr="0054299A">
        <w:rPr>
          <w:rFonts w:eastAsiaTheme="minorHAnsi"/>
          <w:sz w:val="24"/>
          <w:szCs w:val="24"/>
          <w:lang w:eastAsia="en-US"/>
        </w:rPr>
        <w:t>Во введении раскрывается актуальность выбранной темы, степень ее изученности (анализ библиографии), дается характеристика используемых источников, определяется цель и задачи, реализуемые в данной работе.</w:t>
      </w:r>
    </w:p>
    <w:p w:rsidR="00BD29E6" w:rsidRPr="0054299A" w:rsidRDefault="00BD29E6" w:rsidP="00BD29E6">
      <w:pPr>
        <w:pStyle w:val="a3"/>
        <w:spacing w:before="0" w:beforeAutospacing="0" w:after="0"/>
        <w:ind w:firstLine="600"/>
        <w:jc w:val="both"/>
        <w:rPr>
          <w:rFonts w:eastAsiaTheme="minorHAnsi"/>
          <w:sz w:val="24"/>
          <w:szCs w:val="24"/>
          <w:lang w:eastAsia="en-US"/>
        </w:rPr>
      </w:pPr>
      <w:r w:rsidRPr="0054299A">
        <w:rPr>
          <w:rFonts w:eastAsiaTheme="minorHAnsi"/>
          <w:sz w:val="24"/>
          <w:szCs w:val="24"/>
          <w:lang w:eastAsia="en-US"/>
        </w:rPr>
        <w:t xml:space="preserve">Основная часть реферата должна соответствовать цели и задачам работы. При её выполнении студентам необходимо познакомиться с основными источниками по данной теме. </w:t>
      </w:r>
    </w:p>
    <w:p w:rsidR="00BD29E6" w:rsidRPr="0054299A" w:rsidRDefault="00BD29E6" w:rsidP="00BD29E6">
      <w:pPr>
        <w:pStyle w:val="a3"/>
        <w:spacing w:before="0" w:beforeAutospacing="0" w:after="0"/>
        <w:ind w:firstLine="600"/>
        <w:jc w:val="both"/>
        <w:rPr>
          <w:rFonts w:eastAsiaTheme="minorHAnsi"/>
          <w:sz w:val="24"/>
          <w:szCs w:val="24"/>
          <w:lang w:eastAsia="en-US"/>
        </w:rPr>
      </w:pPr>
      <w:r w:rsidRPr="0054299A">
        <w:rPr>
          <w:rFonts w:eastAsiaTheme="minorHAnsi"/>
          <w:sz w:val="24"/>
          <w:szCs w:val="24"/>
          <w:lang w:eastAsia="en-US"/>
        </w:rPr>
        <w:t>Заключение должно соответствовать поставленной цели и содержать основные выводы, сделанные в ходе исследования. В работе необходимо делать сноски на источники и используемую литературу с указанием автора, наименования работы, издания, года издания и страницы.</w:t>
      </w:r>
    </w:p>
    <w:p w:rsidR="00BD29E6" w:rsidRDefault="00BD29E6" w:rsidP="00BD29E6">
      <w:pPr>
        <w:pStyle w:val="a3"/>
        <w:spacing w:before="0" w:beforeAutospacing="0" w:after="0"/>
        <w:ind w:firstLine="600"/>
        <w:jc w:val="both"/>
        <w:rPr>
          <w:rFonts w:eastAsiaTheme="minorHAnsi"/>
          <w:sz w:val="24"/>
          <w:szCs w:val="24"/>
          <w:lang w:eastAsia="en-US"/>
        </w:rPr>
      </w:pPr>
      <w:r w:rsidRPr="0054299A">
        <w:rPr>
          <w:rFonts w:eastAsiaTheme="minorHAnsi"/>
          <w:sz w:val="24"/>
          <w:szCs w:val="24"/>
          <w:lang w:eastAsia="en-US"/>
        </w:rPr>
        <w:t>Защита реферата проходит в индивидуальном порядке на контрольном занятии по дисциплине, если слушатель получает неудовлетворительную оценку, то обязан доработать задание для получения положительной оценки в период сессии.</w:t>
      </w:r>
    </w:p>
    <w:p w:rsidR="00BD29E6" w:rsidRPr="0054299A" w:rsidRDefault="00BD29E6" w:rsidP="00BD29E6">
      <w:pPr>
        <w:pStyle w:val="a3"/>
        <w:spacing w:before="0" w:beforeAutospacing="0" w:after="0"/>
        <w:ind w:firstLine="600"/>
        <w:jc w:val="both"/>
        <w:rPr>
          <w:rFonts w:eastAsiaTheme="minorHAnsi"/>
          <w:sz w:val="24"/>
          <w:szCs w:val="24"/>
          <w:lang w:eastAsia="en-US"/>
        </w:rPr>
      </w:pPr>
    </w:p>
    <w:tbl>
      <w:tblPr>
        <w:tblW w:w="9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9"/>
        <w:gridCol w:w="902"/>
      </w:tblGrid>
      <w:tr w:rsidR="00BD29E6" w:rsidRPr="0054299A" w:rsidTr="009201A8">
        <w:tc>
          <w:tcPr>
            <w:tcW w:w="8789" w:type="dxa"/>
            <w:shd w:val="clear" w:color="auto" w:fill="auto"/>
          </w:tcPr>
          <w:p w:rsidR="00BD29E6" w:rsidRPr="0054299A" w:rsidRDefault="00BD29E6" w:rsidP="00920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Критерии оценки реферата</w:t>
            </w:r>
          </w:p>
        </w:tc>
        <w:tc>
          <w:tcPr>
            <w:tcW w:w="902" w:type="dxa"/>
            <w:shd w:val="clear" w:color="auto" w:fill="auto"/>
          </w:tcPr>
          <w:p w:rsidR="00BD29E6" w:rsidRPr="0054299A" w:rsidRDefault="00BD29E6" w:rsidP="00920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BD29E6" w:rsidRPr="0054299A" w:rsidTr="009201A8">
        <w:tc>
          <w:tcPr>
            <w:tcW w:w="8789" w:type="dxa"/>
            <w:shd w:val="clear" w:color="auto" w:fill="auto"/>
          </w:tcPr>
          <w:p w:rsidR="00BD29E6" w:rsidRPr="0054299A" w:rsidRDefault="00BD29E6" w:rsidP="00920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Реферат соответствует теме и целям работы, достаточно полно развёрнута аргументация, фактические ошибки и неточности отсутствуют</w:t>
            </w:r>
          </w:p>
        </w:tc>
        <w:tc>
          <w:tcPr>
            <w:tcW w:w="902" w:type="dxa"/>
            <w:shd w:val="clear" w:color="auto" w:fill="auto"/>
          </w:tcPr>
          <w:p w:rsidR="00BD29E6" w:rsidRPr="0054299A" w:rsidRDefault="00BD29E6" w:rsidP="00920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D29E6" w:rsidRPr="0054299A" w:rsidTr="009201A8">
        <w:tc>
          <w:tcPr>
            <w:tcW w:w="8789" w:type="dxa"/>
            <w:shd w:val="clear" w:color="auto" w:fill="auto"/>
          </w:tcPr>
          <w:p w:rsidR="00BD29E6" w:rsidRPr="0054299A" w:rsidRDefault="00BD29E6" w:rsidP="009201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Реферат характеризуется композиционной цельностью, его части логически связаны, внутри смысловых частей нет нарушений последовательности и необоснованных повторов</w:t>
            </w:r>
          </w:p>
        </w:tc>
        <w:tc>
          <w:tcPr>
            <w:tcW w:w="902" w:type="dxa"/>
            <w:shd w:val="clear" w:color="auto" w:fill="auto"/>
          </w:tcPr>
          <w:p w:rsidR="00BD29E6" w:rsidRPr="0054299A" w:rsidRDefault="00BD29E6" w:rsidP="00920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D29E6" w:rsidRPr="0054299A" w:rsidTr="009201A8">
        <w:tc>
          <w:tcPr>
            <w:tcW w:w="8789" w:type="dxa"/>
            <w:shd w:val="clear" w:color="auto" w:fill="auto"/>
          </w:tcPr>
          <w:p w:rsidR="00BD29E6" w:rsidRPr="0054299A" w:rsidRDefault="00BD29E6" w:rsidP="00920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 xml:space="preserve">Библиографический список и текст реферата </w:t>
            </w:r>
            <w:proofErr w:type="gramStart"/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оформлены</w:t>
            </w:r>
            <w:proofErr w:type="gramEnd"/>
            <w:r w:rsidRPr="0054299A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 ГОСТа</w:t>
            </w:r>
          </w:p>
        </w:tc>
        <w:tc>
          <w:tcPr>
            <w:tcW w:w="902" w:type="dxa"/>
            <w:shd w:val="clear" w:color="auto" w:fill="auto"/>
          </w:tcPr>
          <w:p w:rsidR="00BD29E6" w:rsidRPr="0054299A" w:rsidRDefault="00BD29E6" w:rsidP="00920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D29E6" w:rsidRPr="0054299A" w:rsidTr="009201A8">
        <w:tc>
          <w:tcPr>
            <w:tcW w:w="8789" w:type="dxa"/>
            <w:shd w:val="clear" w:color="auto" w:fill="auto"/>
          </w:tcPr>
          <w:p w:rsidR="00BD29E6" w:rsidRPr="0054299A" w:rsidRDefault="00BD29E6" w:rsidP="009201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В процессе защиты реферата студент демонстрирует коммуникативную компетенцию, владеет навыками дискуссии, не допускает речевых ошибок</w:t>
            </w:r>
          </w:p>
        </w:tc>
        <w:tc>
          <w:tcPr>
            <w:tcW w:w="902" w:type="dxa"/>
            <w:shd w:val="clear" w:color="auto" w:fill="auto"/>
          </w:tcPr>
          <w:p w:rsidR="00BD29E6" w:rsidRPr="0054299A" w:rsidRDefault="00BD29E6" w:rsidP="00920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D29E6" w:rsidRPr="0054299A" w:rsidTr="009201A8">
        <w:tc>
          <w:tcPr>
            <w:tcW w:w="8789" w:type="dxa"/>
            <w:shd w:val="clear" w:color="auto" w:fill="auto"/>
          </w:tcPr>
          <w:p w:rsidR="00BD29E6" w:rsidRPr="0054299A" w:rsidRDefault="00BD29E6" w:rsidP="009201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2" w:type="dxa"/>
            <w:shd w:val="clear" w:color="auto" w:fill="auto"/>
          </w:tcPr>
          <w:p w:rsidR="00BD29E6" w:rsidRPr="0054299A" w:rsidRDefault="00BD29E6" w:rsidP="00920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9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Опрос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(до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472D96" w:rsidRPr="007B22EF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(ОПК-2).</w:t>
      </w:r>
    </w:p>
    <w:p w:rsidR="00BD29E6" w:rsidRPr="00893310" w:rsidRDefault="00BD29E6" w:rsidP="00BD29E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проводится на практических занятиях по вопросам темы, а также возможны мини-опросы на лекционных и лабораторно-практических занятиях. Для подготовки к опросу на практическом занятии студентам заранее предлагаются план, список литературы и другие информационные источники, задания для СРС.</w:t>
      </w:r>
    </w:p>
    <w:p w:rsidR="00BD29E6" w:rsidRPr="00893310" w:rsidRDefault="00BD29E6" w:rsidP="00BD29E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опроса:</w:t>
      </w:r>
    </w:p>
    <w:p w:rsidR="00BD29E6" w:rsidRPr="00893310" w:rsidRDefault="00BD29E6" w:rsidP="00BD29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монологический ответ студента на вопросы, представленные в плане практического занятия, или отдельно задаваемые преподавателем. Вопрос задается группе, после чего вызывается отдельный студент. После его ответа преподаватель просит дополнить, уточнить, исправить ответ. Делает замечания сам по ответу и выставляет оценку. После этого задается следующий вопрос и таким образом опрашивают от 2 до 4 человек. На ответ отводится в среднем 5–8 минут.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Положительные стороны индивидуального опроса заключаются в том, что студенту предоставляется возможность дать устный, полный, самостоятельный ответ, что позволяет преподавателю оценить безошибочно: а) качество ответа, т.е. знание материала, б) логическую последовательность изложения, в) грамотность, точность языка, включая умение владеть научно-психологической терминологией. Следует отметить, что такой способ опроса позволяет опросить в течение занятия небольшое количество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29E6" w:rsidRPr="00893310" w:rsidRDefault="00BD29E6" w:rsidP="00BD29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контрольное опрашивание на занятиях, проверка степени и осознанности усвоения учебного материала всей учебной группы. Организация опроса должна быть четкой, вопросы продуманы до мелочей, точно установлена их последовательность. Такой способ опроса позволяет преподавателю: а) охватить проверкой многих обучающихся, б) вырабатывает способность к краткому, но точному ответу, в) обращает внимание на существенные детали темы и способствует их запоминанию, г) приучает к последовательности и обоснованности изложения материала, д) вовлекает в работу всю группу студентов, активизируя процессы их внимания и мышления.</w:t>
      </w:r>
    </w:p>
    <w:p w:rsidR="00BD29E6" w:rsidRPr="00893310" w:rsidRDefault="00BD29E6" w:rsidP="00BD29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недостаткам фронтального опроса относят: а) краткая форма ответов не приучает к развернутому, труднейшему виду ответа, б) не позволяет вскрыть степень глубины знаний отдельных обучающихся.</w:t>
      </w:r>
    </w:p>
    <w:p w:rsidR="00BD29E6" w:rsidRPr="00893310" w:rsidRDefault="00BD29E6" w:rsidP="00BD29E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Письменный блиц-опрос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использоваться в начале занятия перед тем, как начнется обсуждение основных вопросов, представленных в плане практического занятия. В качестве задания для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блиц-опроса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использоваться задание по проверке уровня усвоения студентами основных научных категорий по изучаемой теме. Обычно на такой опрос отводится примерно10-15 минут рабочего времени.</w:t>
      </w:r>
    </w:p>
    <w:p w:rsidR="00BD29E6" w:rsidRDefault="00BD29E6" w:rsidP="00BD29E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D29E6" w:rsidRPr="00893310" w:rsidRDefault="00BD29E6" w:rsidP="00BD29E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каждый ответ студента на вопрос опроса выставляется до 3-х баллов:</w:t>
      </w:r>
    </w:p>
    <w:p w:rsidR="00BD29E6" w:rsidRPr="00893310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3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развернутый, полный, точный, дан студентом самостоятельно и без ошибок;</w:t>
      </w:r>
    </w:p>
    <w:p w:rsidR="00BD29E6" w:rsidRPr="00893310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2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незначительными неточностями или ошибками, которые студент смог исправить после наводящего вопроса преподавателя;</w:t>
      </w:r>
    </w:p>
    <w:p w:rsidR="00BD29E6" w:rsidRPr="00893310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1 балл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ошибками и неточностями, которые студент не смог исправить после наводящих вопросов преподавателя;</w:t>
      </w:r>
    </w:p>
    <w:p w:rsidR="00BD29E6" w:rsidRPr="00893310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0</w:t>
      </w: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баллов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содержит грубые ошибки, существенные неточности, либо ответа нет, либо ответ неправильный.</w:t>
      </w:r>
    </w:p>
    <w:p w:rsidR="00BD29E6" w:rsidRPr="00893310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1 балл выставляется за существенное дополнение студентом ответа другого студента на занятии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BD29E6" w:rsidRPr="00893310" w:rsidRDefault="00BD29E6" w:rsidP="00BD29E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балл в соответствии с рейтингом – 20 баллов.</w:t>
      </w:r>
    </w:p>
    <w:p w:rsidR="00472D96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D96" w:rsidRPr="00B34DAD" w:rsidRDefault="00472D96" w:rsidP="00472D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Аттестация с оценкой</w:t>
      </w:r>
    </w:p>
    <w:p w:rsidR="005F5F8D" w:rsidRPr="000F6584" w:rsidRDefault="005F5F8D" w:rsidP="005F5F8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Критерии оценки </w:t>
      </w:r>
    </w:p>
    <w:p w:rsidR="005F5F8D" w:rsidRPr="00C16CC2" w:rsidRDefault="005F5F8D" w:rsidP="005F5F8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промежуточн</w:t>
      </w:r>
      <w:r w:rsidRPr="00C16CC2">
        <w:rPr>
          <w:rFonts w:ascii="Times New Roman" w:hAnsi="Times New Roman" w:cs="Times New Roman"/>
          <w:sz w:val="24"/>
          <w:szCs w:val="24"/>
        </w:rPr>
        <w:t>ой аттестации студентов критериями выставления оценки выступает степень полноты освоения студентом о</w:t>
      </w:r>
      <w:r>
        <w:rPr>
          <w:rFonts w:ascii="Times New Roman" w:hAnsi="Times New Roman" w:cs="Times New Roman"/>
          <w:sz w:val="24"/>
          <w:szCs w:val="24"/>
        </w:rPr>
        <w:t xml:space="preserve">сновного содержания дисциплины, </w:t>
      </w:r>
      <w:r w:rsidRPr="00316B02">
        <w:rPr>
          <w:rFonts w:ascii="Times New Roman" w:hAnsi="Times New Roman" w:cs="Times New Roman"/>
          <w:sz w:val="24"/>
          <w:szCs w:val="24"/>
        </w:rPr>
        <w:t xml:space="preserve">степень </w:t>
      </w:r>
      <w:proofErr w:type="spellStart"/>
      <w:r w:rsidRPr="00316B0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16B02">
        <w:rPr>
          <w:rFonts w:ascii="Times New Roman" w:hAnsi="Times New Roman" w:cs="Times New Roman"/>
          <w:sz w:val="24"/>
          <w:szCs w:val="24"/>
        </w:rPr>
        <w:t xml:space="preserve"> компетенций (</w:t>
      </w:r>
      <w:r w:rsidR="006F23B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ПК-</w:t>
      </w:r>
      <w:r w:rsidR="006F23B0">
        <w:rPr>
          <w:rFonts w:ascii="Times New Roman" w:hAnsi="Times New Roman" w:cs="Times New Roman"/>
          <w:sz w:val="24"/>
          <w:szCs w:val="24"/>
        </w:rPr>
        <w:t>2</w:t>
      </w:r>
      <w:r w:rsidRPr="00316B02">
        <w:rPr>
          <w:rFonts w:ascii="Times New Roman" w:hAnsi="Times New Roman" w:cs="Times New Roman"/>
          <w:sz w:val="24"/>
          <w:szCs w:val="24"/>
        </w:rPr>
        <w:t>)</w:t>
      </w:r>
      <w:r w:rsidRPr="00C16CC2">
        <w:rPr>
          <w:rFonts w:ascii="Times New Roman" w:hAnsi="Times New Roman" w:cs="Times New Roman"/>
          <w:sz w:val="24"/>
          <w:szCs w:val="24"/>
        </w:rPr>
        <w:t>:</w:t>
      </w:r>
    </w:p>
    <w:p w:rsidR="005F5F8D" w:rsidRPr="00C16CC2" w:rsidRDefault="005F5F8D" w:rsidP="005F5F8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5F5F8D" w:rsidRPr="00C16CC2" w:rsidRDefault="005F5F8D" w:rsidP="005F5F8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</w:t>
      </w:r>
      <w:r w:rsidRPr="00C16CC2">
        <w:rPr>
          <w:rFonts w:ascii="Times New Roman" w:hAnsi="Times New Roman" w:cs="Times New Roman"/>
          <w:sz w:val="24"/>
          <w:szCs w:val="24"/>
        </w:rPr>
        <w:lastRenderedPageBreak/>
        <w:t>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5F5F8D" w:rsidRPr="00C16CC2" w:rsidRDefault="005F5F8D" w:rsidP="005F5F8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CC2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2B7FE3" w:rsidRDefault="005F5F8D" w:rsidP="005F5F8D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  <w:r w:rsidRPr="00316B02">
        <w:rPr>
          <w:rFonts w:eastAsiaTheme="minorHAnsi"/>
          <w:sz w:val="24"/>
          <w:szCs w:val="24"/>
          <w:lang w:eastAsia="en-US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2B7FE3" w:rsidRDefault="002B7FE3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2B7FE3" w:rsidRDefault="002B7FE3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УЧЕБНО-МЕТОДИЧЕСКОЕ ОБЕСПЕЧЕНИЕ ДИСЦИПЛИНЫ</w:t>
      </w:r>
    </w:p>
    <w:p w:rsidR="002B7FE3" w:rsidRDefault="002B7FE3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B7FE3" w:rsidRDefault="002B7FE3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Тематический план аудиторной работы</w:t>
      </w:r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  <w:b/>
        </w:rPr>
      </w:pPr>
      <w:r w:rsidRPr="00AD2EE0">
        <w:rPr>
          <w:rFonts w:ascii="Times New Roman" w:hAnsi="Times New Roman" w:cs="Times New Roman"/>
          <w:b/>
        </w:rPr>
        <w:t xml:space="preserve">Темы лекций, </w:t>
      </w:r>
      <w:r w:rsidR="002C7DD4">
        <w:rPr>
          <w:rFonts w:ascii="Times New Roman" w:hAnsi="Times New Roman" w:cs="Times New Roman"/>
          <w:b/>
        </w:rPr>
        <w:t xml:space="preserve"> </w:t>
      </w:r>
      <w:r w:rsidRPr="00AD2EE0">
        <w:rPr>
          <w:rFonts w:ascii="Times New Roman" w:hAnsi="Times New Roman" w:cs="Times New Roman"/>
          <w:b/>
        </w:rPr>
        <w:t>лабораторных  и практических заданий</w:t>
      </w:r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</w:rPr>
      </w:pPr>
      <w:r w:rsidRPr="00AD2EE0">
        <w:rPr>
          <w:rFonts w:ascii="Times New Roman" w:hAnsi="Times New Roman" w:cs="Times New Roman"/>
        </w:rPr>
        <w:t xml:space="preserve">1. </w:t>
      </w:r>
      <w:proofErr w:type="spellStart"/>
      <w:r w:rsidRPr="00AD2EE0">
        <w:rPr>
          <w:rFonts w:ascii="Times New Roman" w:hAnsi="Times New Roman" w:cs="Times New Roman"/>
        </w:rPr>
        <w:t>Медиапланрование</w:t>
      </w:r>
      <w:proofErr w:type="spellEnd"/>
      <w:r w:rsidRPr="00AD2EE0">
        <w:rPr>
          <w:rFonts w:ascii="Times New Roman" w:hAnsi="Times New Roman" w:cs="Times New Roman"/>
        </w:rPr>
        <w:t xml:space="preserve"> как управленческая технология в средствах массовой коммуникации</w:t>
      </w:r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</w:rPr>
      </w:pPr>
      <w:r w:rsidRPr="00AD2EE0">
        <w:rPr>
          <w:rFonts w:ascii="Times New Roman" w:hAnsi="Times New Roman" w:cs="Times New Roman"/>
        </w:rPr>
        <w:t>2. Структура рекламного рынка и типология средств массовой коммуникации</w:t>
      </w:r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</w:rPr>
      </w:pPr>
      <w:r w:rsidRPr="00AD2EE0">
        <w:rPr>
          <w:rFonts w:ascii="Times New Roman" w:hAnsi="Times New Roman" w:cs="Times New Roman"/>
        </w:rPr>
        <w:t xml:space="preserve">3. Социологические источники и инструментарий </w:t>
      </w:r>
      <w:proofErr w:type="spellStart"/>
      <w:r w:rsidRPr="00AD2EE0">
        <w:rPr>
          <w:rFonts w:ascii="Times New Roman" w:hAnsi="Times New Roman" w:cs="Times New Roman"/>
        </w:rPr>
        <w:t>медиапланирования</w:t>
      </w:r>
      <w:proofErr w:type="spellEnd"/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</w:rPr>
      </w:pPr>
      <w:r w:rsidRPr="00AD2EE0">
        <w:rPr>
          <w:rFonts w:ascii="Times New Roman" w:hAnsi="Times New Roman" w:cs="Times New Roman"/>
        </w:rPr>
        <w:t xml:space="preserve">4. Социологические источники и инструментарий </w:t>
      </w:r>
      <w:proofErr w:type="spellStart"/>
      <w:r w:rsidRPr="00AD2EE0">
        <w:rPr>
          <w:rFonts w:ascii="Times New Roman" w:hAnsi="Times New Roman" w:cs="Times New Roman"/>
        </w:rPr>
        <w:t>медиапланирования</w:t>
      </w:r>
      <w:proofErr w:type="spellEnd"/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</w:rPr>
      </w:pPr>
      <w:r w:rsidRPr="00AD2EE0">
        <w:rPr>
          <w:rFonts w:ascii="Times New Roman" w:hAnsi="Times New Roman" w:cs="Times New Roman"/>
        </w:rPr>
        <w:t>5. Планирование рекламных и информационных кампаний: предварительные процедуры</w:t>
      </w:r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</w:rPr>
      </w:pPr>
      <w:r w:rsidRPr="00AD2EE0">
        <w:rPr>
          <w:rFonts w:ascii="Times New Roman" w:hAnsi="Times New Roman" w:cs="Times New Roman"/>
        </w:rPr>
        <w:t xml:space="preserve">6. Планирование рекламных и информационных кампаний: частные модели </w:t>
      </w:r>
    </w:p>
    <w:p w:rsidR="00AD2EE0" w:rsidRPr="00AD2EE0" w:rsidRDefault="00AD2EE0" w:rsidP="00AD2EE0">
      <w:pPr>
        <w:spacing w:after="0" w:line="240" w:lineRule="auto"/>
        <w:rPr>
          <w:rFonts w:ascii="Times New Roman" w:hAnsi="Times New Roman" w:cs="Times New Roman"/>
        </w:rPr>
      </w:pPr>
      <w:r w:rsidRPr="00AD2EE0">
        <w:rPr>
          <w:rFonts w:ascii="Times New Roman" w:hAnsi="Times New Roman" w:cs="Times New Roman"/>
        </w:rPr>
        <w:t>7.</w:t>
      </w:r>
      <w:r w:rsidR="0094502A">
        <w:rPr>
          <w:rFonts w:ascii="Times New Roman" w:hAnsi="Times New Roman" w:cs="Times New Roman"/>
        </w:rPr>
        <w:t xml:space="preserve"> </w:t>
      </w:r>
      <w:r w:rsidRPr="00AD2EE0">
        <w:rPr>
          <w:rFonts w:ascii="Times New Roman" w:hAnsi="Times New Roman" w:cs="Times New Roman"/>
        </w:rPr>
        <w:t>Планирование рекламных и информационных кампаний: основные модели, планирование, закупка, контроль</w:t>
      </w:r>
    </w:p>
    <w:p w:rsidR="00AD2EE0" w:rsidRDefault="00AD2EE0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D2EE0" w:rsidRDefault="00AD2EE0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B7FE3" w:rsidRDefault="002B7FE3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Контрольно-диагностические материалы (</w:t>
      </w:r>
      <w:r w:rsidR="00AD2E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вопросы для аттестации с оценкой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</w:p>
    <w:p w:rsid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 </w:t>
      </w:r>
      <w:proofErr w:type="spellStart"/>
      <w:r w:rsidRPr="0094502A">
        <w:rPr>
          <w:color w:val="000000"/>
          <w:sz w:val="22"/>
          <w:szCs w:val="22"/>
        </w:rPr>
        <w:t>Медиастратегия</w:t>
      </w:r>
      <w:proofErr w:type="spellEnd"/>
      <w:r w:rsidRPr="0094502A">
        <w:rPr>
          <w:color w:val="000000"/>
          <w:sz w:val="22"/>
          <w:szCs w:val="22"/>
        </w:rPr>
        <w:t xml:space="preserve">. Связь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 xml:space="preserve"> и маркетинговых задач.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2. </w:t>
      </w:r>
      <w:proofErr w:type="spellStart"/>
      <w:r w:rsidRPr="0094502A">
        <w:rPr>
          <w:color w:val="000000"/>
          <w:sz w:val="22"/>
          <w:szCs w:val="22"/>
        </w:rPr>
        <w:t>Медиастратегия</w:t>
      </w:r>
      <w:proofErr w:type="spellEnd"/>
      <w:r w:rsidRPr="0094502A">
        <w:rPr>
          <w:color w:val="000000"/>
          <w:sz w:val="22"/>
          <w:szCs w:val="22"/>
        </w:rPr>
        <w:t>. Выбор схемы охвата.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3. Основные показатели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>. Охват.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4. Достоинства и недостатки наружной рекламы как </w:t>
      </w:r>
      <w:proofErr w:type="spellStart"/>
      <w:r w:rsidRPr="0094502A">
        <w:rPr>
          <w:color w:val="000000"/>
          <w:sz w:val="22"/>
          <w:szCs w:val="22"/>
        </w:rPr>
        <w:t>рекламоносителя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5. Оценка эффективности наружной рекламы.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6. Измерение аудитории наружной рекламы.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7. Основные показатели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>. Частота.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8. Рейтинг. Измерение рейтинга. Виды рейтинга.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9. Прогнозирование рейтинга.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10. Проблема «позиционирования» ролика внутри рекламного блока.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11. Понятие о </w:t>
      </w:r>
      <w:proofErr w:type="spellStart"/>
      <w:r w:rsidRPr="0094502A">
        <w:rPr>
          <w:color w:val="000000"/>
          <w:sz w:val="22"/>
          <w:szCs w:val="22"/>
        </w:rPr>
        <w:t>медиапланировании</w:t>
      </w:r>
      <w:proofErr w:type="spellEnd"/>
      <w:r w:rsidRPr="0094502A">
        <w:rPr>
          <w:color w:val="000000"/>
          <w:sz w:val="22"/>
          <w:szCs w:val="22"/>
        </w:rPr>
        <w:t xml:space="preserve">. Три этапа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 xml:space="preserve">. Цели и задачи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12. Основные показатели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>. Сумма рейтинговых пунктов. Доля. Индекс соответствия.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13. Достоинства и недостатки журналов как </w:t>
      </w:r>
      <w:proofErr w:type="spellStart"/>
      <w:r w:rsidRPr="0094502A">
        <w:rPr>
          <w:color w:val="000000"/>
          <w:sz w:val="22"/>
          <w:szCs w:val="22"/>
        </w:rPr>
        <w:t>рекламоносителя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14. Достоинства и недостатки газет как </w:t>
      </w:r>
      <w:proofErr w:type="spellStart"/>
      <w:r w:rsidRPr="0094502A">
        <w:rPr>
          <w:color w:val="000000"/>
          <w:sz w:val="22"/>
          <w:szCs w:val="22"/>
        </w:rPr>
        <w:t>рекламоносителя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15. Достоинства и недостатки прочих печатных СМИ.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16. Характеристика аудитории различных видов печатных СМИ. Скорость накопления аудитории.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17. Характеристика аудитории различных видов электронных СМИ. Скорость накопления аудитории.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18. Понятие о типе прочтения печатного СМИ и его влияние на </w:t>
      </w:r>
      <w:proofErr w:type="spellStart"/>
      <w:r w:rsidRPr="0094502A">
        <w:rPr>
          <w:color w:val="000000"/>
          <w:sz w:val="22"/>
          <w:szCs w:val="22"/>
        </w:rPr>
        <w:t>медиапланирование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19. Достоинства и недостатки телевидения как </w:t>
      </w:r>
      <w:proofErr w:type="spellStart"/>
      <w:r w:rsidRPr="0094502A">
        <w:rPr>
          <w:color w:val="000000"/>
          <w:sz w:val="22"/>
          <w:szCs w:val="22"/>
        </w:rPr>
        <w:t>рекламоносителя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20. Основные показатели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 xml:space="preserve">. </w:t>
      </w:r>
      <w:proofErr w:type="gramStart"/>
      <w:r w:rsidRPr="0094502A">
        <w:rPr>
          <w:color w:val="000000"/>
          <w:sz w:val="22"/>
          <w:szCs w:val="22"/>
        </w:rPr>
        <w:t>Кросс-парное</w:t>
      </w:r>
      <w:proofErr w:type="gramEnd"/>
      <w:r w:rsidRPr="0094502A">
        <w:rPr>
          <w:color w:val="000000"/>
          <w:sz w:val="22"/>
          <w:szCs w:val="22"/>
        </w:rPr>
        <w:t xml:space="preserve"> и внутреннее пересечение.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21. Составление </w:t>
      </w:r>
      <w:proofErr w:type="spellStart"/>
      <w:r w:rsidRPr="0094502A">
        <w:rPr>
          <w:color w:val="000000"/>
          <w:sz w:val="22"/>
          <w:szCs w:val="22"/>
        </w:rPr>
        <w:t>медиаплана</w:t>
      </w:r>
      <w:proofErr w:type="spellEnd"/>
      <w:r w:rsidRPr="0094502A">
        <w:rPr>
          <w:color w:val="000000"/>
          <w:sz w:val="22"/>
          <w:szCs w:val="22"/>
        </w:rPr>
        <w:t xml:space="preserve"> по критерию «охват - частота».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22. Достоинства и недостатки Интернета как </w:t>
      </w:r>
      <w:proofErr w:type="spellStart"/>
      <w:r w:rsidRPr="0094502A">
        <w:rPr>
          <w:color w:val="000000"/>
          <w:sz w:val="22"/>
          <w:szCs w:val="22"/>
        </w:rPr>
        <w:t>рекламоносителя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23. Достоинства и недостатки радиовещания как </w:t>
      </w:r>
      <w:proofErr w:type="spellStart"/>
      <w:r w:rsidRPr="0094502A">
        <w:rPr>
          <w:color w:val="000000"/>
          <w:sz w:val="22"/>
          <w:szCs w:val="22"/>
        </w:rPr>
        <w:t>рекламоносителя</w:t>
      </w:r>
      <w:proofErr w:type="spellEnd"/>
      <w:r w:rsidRPr="0094502A">
        <w:rPr>
          <w:color w:val="000000"/>
          <w:sz w:val="22"/>
          <w:szCs w:val="22"/>
        </w:rPr>
        <w:t>. Классификация радиостанций и типов рекламы на радио.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24. Основные показатели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 xml:space="preserve">. Показатели эффективности </w:t>
      </w:r>
      <w:proofErr w:type="spellStart"/>
      <w:r w:rsidRPr="0094502A">
        <w:rPr>
          <w:color w:val="000000"/>
          <w:sz w:val="22"/>
          <w:szCs w:val="22"/>
        </w:rPr>
        <w:t>медиапланирования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25. Составление </w:t>
      </w:r>
      <w:proofErr w:type="spellStart"/>
      <w:r w:rsidRPr="0094502A">
        <w:rPr>
          <w:color w:val="000000"/>
          <w:sz w:val="22"/>
          <w:szCs w:val="22"/>
        </w:rPr>
        <w:t>медиаплана</w:t>
      </w:r>
      <w:proofErr w:type="spellEnd"/>
      <w:r w:rsidRPr="0094502A">
        <w:rPr>
          <w:color w:val="000000"/>
          <w:sz w:val="22"/>
          <w:szCs w:val="22"/>
        </w:rPr>
        <w:t xml:space="preserve"> по критерию «охват - частота».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26. Достоинства и недостатки мобильной связи как </w:t>
      </w:r>
      <w:proofErr w:type="spellStart"/>
      <w:r w:rsidRPr="0094502A">
        <w:rPr>
          <w:color w:val="000000"/>
          <w:sz w:val="22"/>
          <w:szCs w:val="22"/>
        </w:rPr>
        <w:t>рекламоносителя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27. Особенности выделения целевой аудитории при </w:t>
      </w:r>
      <w:proofErr w:type="spellStart"/>
      <w:r w:rsidRPr="0094502A">
        <w:rPr>
          <w:color w:val="000000"/>
          <w:sz w:val="22"/>
          <w:szCs w:val="22"/>
        </w:rPr>
        <w:t>медиапланировании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28. Критерии выбора минимальной эффективной частоты.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29. </w:t>
      </w:r>
      <w:proofErr w:type="spellStart"/>
      <w:r w:rsidRPr="0094502A">
        <w:rPr>
          <w:color w:val="000000"/>
          <w:sz w:val="22"/>
          <w:szCs w:val="22"/>
        </w:rPr>
        <w:t>Медиаметрия</w:t>
      </w:r>
      <w:proofErr w:type="spellEnd"/>
      <w:r w:rsidRPr="0094502A">
        <w:rPr>
          <w:color w:val="000000"/>
          <w:sz w:val="22"/>
          <w:szCs w:val="22"/>
        </w:rPr>
        <w:t>. Исследование характеристик аудитории электронных СМИ.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30. Понятие о профиле аудитории. Выбор СМИ по профилю аудитории.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31. </w:t>
      </w:r>
      <w:proofErr w:type="spellStart"/>
      <w:r w:rsidRPr="0094502A">
        <w:rPr>
          <w:color w:val="000000"/>
          <w:sz w:val="22"/>
          <w:szCs w:val="22"/>
        </w:rPr>
        <w:t>Медиаметрия</w:t>
      </w:r>
      <w:proofErr w:type="spellEnd"/>
      <w:r w:rsidRPr="0094502A">
        <w:rPr>
          <w:color w:val="000000"/>
          <w:sz w:val="22"/>
          <w:szCs w:val="22"/>
        </w:rPr>
        <w:t xml:space="preserve">. Исследования характеристик электронных </w:t>
      </w:r>
      <w:proofErr w:type="spellStart"/>
      <w:r w:rsidRPr="0094502A">
        <w:rPr>
          <w:color w:val="000000"/>
          <w:sz w:val="22"/>
          <w:szCs w:val="22"/>
        </w:rPr>
        <w:t>медианосителей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32. Составление </w:t>
      </w:r>
      <w:proofErr w:type="spellStart"/>
      <w:r w:rsidRPr="0094502A">
        <w:rPr>
          <w:color w:val="000000"/>
          <w:sz w:val="22"/>
          <w:szCs w:val="22"/>
        </w:rPr>
        <w:t>медиаплана</w:t>
      </w:r>
      <w:proofErr w:type="spellEnd"/>
      <w:r w:rsidRPr="0094502A">
        <w:rPr>
          <w:color w:val="000000"/>
          <w:sz w:val="22"/>
          <w:szCs w:val="22"/>
        </w:rPr>
        <w:t xml:space="preserve"> по критерию «охват - частота».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 xml:space="preserve">33. Концепция апертуры в </w:t>
      </w:r>
      <w:proofErr w:type="spellStart"/>
      <w:r w:rsidRPr="0094502A">
        <w:rPr>
          <w:color w:val="000000"/>
          <w:sz w:val="22"/>
          <w:szCs w:val="22"/>
        </w:rPr>
        <w:t>медиапланировании</w:t>
      </w:r>
      <w:proofErr w:type="spellEnd"/>
      <w:r w:rsidRPr="0094502A">
        <w:rPr>
          <w:color w:val="000000"/>
          <w:sz w:val="22"/>
          <w:szCs w:val="22"/>
        </w:rPr>
        <w:t>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34. Понятие о концепции «</w:t>
      </w:r>
      <w:proofErr w:type="spellStart"/>
      <w:r w:rsidRPr="0094502A">
        <w:rPr>
          <w:color w:val="000000"/>
          <w:sz w:val="22"/>
          <w:szCs w:val="22"/>
        </w:rPr>
        <w:t>рисенси</w:t>
      </w:r>
      <w:proofErr w:type="spellEnd"/>
      <w:r w:rsidRPr="0094502A">
        <w:rPr>
          <w:color w:val="000000"/>
          <w:sz w:val="22"/>
          <w:szCs w:val="22"/>
        </w:rPr>
        <w:t>» (</w:t>
      </w:r>
      <w:proofErr w:type="spellStart"/>
      <w:r w:rsidRPr="0094502A">
        <w:rPr>
          <w:color w:val="000000"/>
          <w:sz w:val="22"/>
          <w:szCs w:val="22"/>
        </w:rPr>
        <w:t>recency</w:t>
      </w:r>
      <w:proofErr w:type="spellEnd"/>
      <w:r w:rsidRPr="0094502A">
        <w:rPr>
          <w:color w:val="000000"/>
          <w:sz w:val="22"/>
          <w:szCs w:val="22"/>
        </w:rPr>
        <w:t>).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35. Достоинства и недостатки прямой почтовой рассылки. Характеристики ее коммуникативной эффективности и факторы, на нее влияющие.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t>36. Бюджет рекламной кампании. Методы выбора бюджета.</w:t>
      </w:r>
    </w:p>
    <w:p w:rsidR="0094502A" w:rsidRPr="0094502A" w:rsidRDefault="0094502A" w:rsidP="0094502A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2"/>
          <w:szCs w:val="22"/>
        </w:rPr>
      </w:pPr>
      <w:r w:rsidRPr="0094502A">
        <w:rPr>
          <w:color w:val="000000"/>
          <w:sz w:val="22"/>
          <w:szCs w:val="22"/>
        </w:rPr>
        <w:lastRenderedPageBreak/>
        <w:t>37. Понятие о плавающем и фиксирующем размещении. Скидки и наценки при закупке рекламного времени.</w:t>
      </w:r>
    </w:p>
    <w:p w:rsidR="0094502A" w:rsidRDefault="0094502A" w:rsidP="0094502A">
      <w:pPr>
        <w:jc w:val="both"/>
      </w:pPr>
    </w:p>
    <w:p w:rsidR="00AD2EE0" w:rsidRDefault="00AD2EE0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B7FE3" w:rsidRDefault="002B7FE3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Учебно-методические материалы (конспекты лекций\ тексты практических\лабораторных, задания к СРС (тематика рефератов)</w:t>
      </w:r>
      <w:proofErr w:type="gramEnd"/>
    </w:p>
    <w:p w:rsidR="0094502A" w:rsidRDefault="0094502A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Конспекты лекций:</w:t>
      </w:r>
    </w:p>
    <w:p w:rsidR="0094502A" w:rsidRDefault="0094502A" w:rsidP="0094502A">
      <w:pPr>
        <w:pStyle w:val="a3"/>
      </w:pPr>
      <w:r>
        <w:rPr>
          <w:b/>
          <w:bCs/>
        </w:rPr>
        <w:t xml:space="preserve">Лекция 1. Понятие о </w:t>
      </w:r>
      <w:proofErr w:type="spellStart"/>
      <w:r>
        <w:rPr>
          <w:b/>
          <w:bCs/>
        </w:rPr>
        <w:t>медиапланировании</w:t>
      </w:r>
      <w:proofErr w:type="spellEnd"/>
      <w:r>
        <w:rPr>
          <w:b/>
          <w:bCs/>
        </w:rPr>
        <w:t xml:space="preserve">. Три этапа </w:t>
      </w:r>
      <w:proofErr w:type="spellStart"/>
      <w:r>
        <w:rPr>
          <w:b/>
          <w:bCs/>
        </w:rPr>
        <w:t>медиапланирования</w:t>
      </w:r>
      <w:proofErr w:type="spellEnd"/>
      <w:r>
        <w:rPr>
          <w:b/>
          <w:bCs/>
        </w:rPr>
        <w:t>. Цели и задачи</w:t>
      </w:r>
      <w:r>
        <w:t xml:space="preserve"> </w:t>
      </w:r>
    </w:p>
    <w:p w:rsidR="0094502A" w:rsidRDefault="0094502A" w:rsidP="0094502A">
      <w:pPr>
        <w:pStyle w:val="a3"/>
      </w:pPr>
      <w:proofErr w:type="spellStart"/>
      <w:r>
        <w:rPr>
          <w:b/>
          <w:bCs/>
        </w:rPr>
        <w:t>Медиапланирование</w:t>
      </w:r>
      <w:proofErr w:type="spellEnd"/>
      <w:r>
        <w:rPr>
          <w:b/>
          <w:bCs/>
        </w:rPr>
        <w:t xml:space="preserve"> – </w:t>
      </w:r>
      <w:r>
        <w:t xml:space="preserve">Процесс </w:t>
      </w:r>
      <w:proofErr w:type="gramStart"/>
      <w:r>
        <w:t>формирования системы каналов доставки рекламных посланий</w:t>
      </w:r>
      <w:proofErr w:type="gramEnd"/>
      <w:r>
        <w:t xml:space="preserve"> адресатам рекламной коммуникации. Его основной задачей является оптимизация схемы размещения рекламных материалов, основанная на объективных показателях. В зависимости от степени конкретизации средства распространения обращения выделяются понятия медиаканал и </w:t>
      </w:r>
      <w:proofErr w:type="spellStart"/>
      <w:r>
        <w:t>медианоситель</w:t>
      </w:r>
      <w:proofErr w:type="spellEnd"/>
      <w:r>
        <w:t xml:space="preserve">. </w:t>
      </w:r>
      <w:r>
        <w:rPr>
          <w:u w:val="single"/>
        </w:rPr>
        <w:t>Медиаканал (</w:t>
      </w:r>
      <w:proofErr w:type="spellStart"/>
      <w:r>
        <w:rPr>
          <w:u w:val="single"/>
        </w:rPr>
        <w:t>медиакатегория</w:t>
      </w:r>
      <w:proofErr w:type="spellEnd"/>
      <w:r>
        <w:rPr>
          <w:u w:val="single"/>
        </w:rPr>
        <w:t>)</w:t>
      </w:r>
      <w:r>
        <w:t xml:space="preserve"> представляет собой совокупность средств распространения рекламы, однотипных с точки зрения способа передачи информации и характеризующихся одинаковым типом восприятия их аудиторией. </w:t>
      </w:r>
      <w:proofErr w:type="gramStart"/>
      <w:r>
        <w:t xml:space="preserve">Например, пресса, средства рекламной полиграфии, телевидение, наружная реклама и т. п. </w:t>
      </w:r>
      <w:proofErr w:type="spellStart"/>
      <w:r>
        <w:rPr>
          <w:u w:val="single"/>
        </w:rPr>
        <w:t>Медианоситель</w:t>
      </w:r>
      <w:proofErr w:type="spellEnd"/>
      <w:r>
        <w:rPr>
          <w:u w:val="single"/>
        </w:rPr>
        <w:t xml:space="preserve"> </w:t>
      </w:r>
      <w:r>
        <w:t>— это конкретный представитель медиаканала (т. е. выпуск печатного издания, телепрограмма, радиопередача и т. д.), в котором размещено рекламное сообщение.</w:t>
      </w:r>
      <w:proofErr w:type="gramEnd"/>
      <w:r>
        <w:t xml:space="preserve"> Например: медиаканал — телевидение, </w:t>
      </w:r>
      <w:proofErr w:type="spellStart"/>
      <w:r>
        <w:t>медианоситель</w:t>
      </w:r>
      <w:proofErr w:type="spellEnd"/>
      <w:r>
        <w:t xml:space="preserve"> — программа «Я — сама!» </w:t>
      </w:r>
    </w:p>
    <w:p w:rsidR="0094502A" w:rsidRDefault="0094502A" w:rsidP="0094502A">
      <w:pPr>
        <w:pStyle w:val="a3"/>
      </w:pPr>
      <w:r>
        <w:t xml:space="preserve">Весь процесс </w:t>
      </w:r>
      <w:proofErr w:type="spellStart"/>
      <w:r>
        <w:t>медиапланирования</w:t>
      </w:r>
      <w:proofErr w:type="spellEnd"/>
      <w:r>
        <w:t xml:space="preserve"> можно условно разделить на 3 этапа. </w:t>
      </w:r>
    </w:p>
    <w:p w:rsidR="0094502A" w:rsidRDefault="0094502A" w:rsidP="0094502A">
      <w:pPr>
        <w:pStyle w:val="a3"/>
      </w:pPr>
      <w:r>
        <w:t xml:space="preserve">1) </w:t>
      </w:r>
      <w:r>
        <w:rPr>
          <w:b/>
          <w:bCs/>
        </w:rPr>
        <w:t>определяются и формулируются цели маркетинга и рекламной деятельности</w:t>
      </w:r>
      <w:r>
        <w:t xml:space="preserve"> рекламодателя. Выявляется целевой сегмент маркетинговой деятельности и целевая аудитория, которой предназначено обращение. Основные планирующие функции первого этапа выполняются сотрудниками маркетинговых подразделений фирмы-рекламодателя или исследовательского подразделения рекламного агентства. В результате их осуществления </w:t>
      </w:r>
      <w:proofErr w:type="spellStart"/>
      <w:r>
        <w:t>медиапланеры</w:t>
      </w:r>
      <w:proofErr w:type="spellEnd"/>
      <w:r>
        <w:t xml:space="preserve"> получают «портрет» целевой аудитории обращения (количественные и качественные характеристики сегмента в целом и «среднего» представителя сегмента, в частности).</w:t>
      </w:r>
    </w:p>
    <w:p w:rsidR="0094502A" w:rsidRDefault="0094502A" w:rsidP="0094502A">
      <w:pPr>
        <w:pStyle w:val="a3"/>
      </w:pPr>
      <w:r>
        <w:t xml:space="preserve">2) </w:t>
      </w:r>
      <w:r>
        <w:rPr>
          <w:b/>
          <w:bCs/>
        </w:rPr>
        <w:t>принимаются решения об охвате аудитории и о необходимом количестве рекламных контактов.</w:t>
      </w:r>
      <w:r>
        <w:t xml:space="preserve"> Эффективность воздействия рекламного обращения на целевую аудиторию будет во многом зависеть от того, какую часть этой </w:t>
      </w:r>
      <w:proofErr w:type="gramStart"/>
      <w:r>
        <w:t>аудитории достиг сигнал</w:t>
      </w:r>
      <w:proofErr w:type="gramEnd"/>
      <w:r>
        <w:t xml:space="preserve"> рекламного послания и сколько было рекламных контактов с обращением у представителей целевой аудитории. Решение этих вопросов является сущностью второго этапа </w:t>
      </w:r>
      <w:proofErr w:type="spellStart"/>
      <w:r>
        <w:t>медиапланирования</w:t>
      </w:r>
      <w:proofErr w:type="spellEnd"/>
      <w:r>
        <w:t>.</w:t>
      </w:r>
    </w:p>
    <w:p w:rsidR="0094502A" w:rsidRDefault="0094502A" w:rsidP="0094502A">
      <w:pPr>
        <w:pStyle w:val="a3"/>
      </w:pPr>
      <w:r>
        <w:t xml:space="preserve">Очевидно, что эффективность воздействия рекламного обращения на целевую аудиторию будет во многом зависеть от того, какую часть этой </w:t>
      </w:r>
      <w:proofErr w:type="gramStart"/>
      <w:r>
        <w:t>аудитории достиг сигнал</w:t>
      </w:r>
      <w:proofErr w:type="gramEnd"/>
      <w:r>
        <w:t xml:space="preserve"> рекламного послания и сколько было рекламных контактов с обращением у представителей целевой аудитории. Решение этих вопросов является сущностью второго этапа </w:t>
      </w:r>
      <w:proofErr w:type="spellStart"/>
      <w:r>
        <w:t>медиапланирования</w:t>
      </w:r>
      <w:proofErr w:type="spellEnd"/>
      <w:r>
        <w:t>.</w:t>
      </w:r>
    </w:p>
    <w:p w:rsidR="0094502A" w:rsidRDefault="0094502A" w:rsidP="0094502A">
      <w:pPr>
        <w:pStyle w:val="a3"/>
      </w:pPr>
      <w:r>
        <w:t xml:space="preserve">Для оценки ситуации с этой точки зрения используются следующие показатели: </w:t>
      </w:r>
      <w:r>
        <w:rPr>
          <w:u w:val="single"/>
        </w:rPr>
        <w:t xml:space="preserve">Охват </w:t>
      </w:r>
      <w:r>
        <w:t xml:space="preserve">(достижение, англ. </w:t>
      </w:r>
      <w:proofErr w:type="spellStart"/>
      <w:r>
        <w:t>Reach</w:t>
      </w:r>
      <w:proofErr w:type="spellEnd"/>
      <w:r>
        <w:t xml:space="preserve">) носителя или схемы размещения — часть (процент) населения, либо целевой аудитории, экспонированная носителем, содержащим рекламное сообщение хотя бы один раз в течение рассматриваемого периода. </w:t>
      </w:r>
      <w:r>
        <w:rPr>
          <w:u w:val="single"/>
        </w:rPr>
        <w:t>Частота (</w:t>
      </w:r>
      <w:proofErr w:type="spellStart"/>
      <w:r>
        <w:rPr>
          <w:u w:val="single"/>
        </w:rPr>
        <w:t>Frequency</w:t>
      </w:r>
      <w:proofErr w:type="spellEnd"/>
      <w:proofErr w:type="gramStart"/>
      <w:r>
        <w:t xml:space="preserve"> )</w:t>
      </w:r>
      <w:proofErr w:type="gramEnd"/>
      <w:r>
        <w:t xml:space="preserve"> экспозиции, точнее, распределение частот экспозиции, показывает, какая часть (процент) целевой аудитории сколько именно раз контактировала с носителем, содержащим рекламное сообщение. </w:t>
      </w:r>
      <w:r>
        <w:rPr>
          <w:u w:val="single"/>
        </w:rPr>
        <w:t>Кумулятивная частота или кумулятивное распределение частот экспозиции</w:t>
      </w:r>
      <w:r>
        <w:t xml:space="preserve"> — количество контактов с носителем в единицу времени не менее некоторого (например «три и более») для определенной части целевой аудитории.</w:t>
      </w:r>
    </w:p>
    <w:p w:rsidR="0094502A" w:rsidRDefault="0094502A" w:rsidP="0094502A">
      <w:pPr>
        <w:pStyle w:val="a3"/>
        <w:rPr>
          <w:b/>
          <w:bCs/>
        </w:rPr>
      </w:pPr>
      <w:r>
        <w:t xml:space="preserve">3) </w:t>
      </w:r>
      <w:r>
        <w:rPr>
          <w:b/>
          <w:bCs/>
        </w:rPr>
        <w:t xml:space="preserve">производится сравнительный анализ и непосредственный выбор медиаканалов и </w:t>
      </w:r>
      <w:proofErr w:type="spellStart"/>
      <w:r>
        <w:rPr>
          <w:b/>
          <w:bCs/>
        </w:rPr>
        <w:t>медианосителей</w:t>
      </w:r>
      <w:proofErr w:type="spellEnd"/>
      <w:r>
        <w:rPr>
          <w:b/>
          <w:bCs/>
        </w:rPr>
        <w:t xml:space="preserve"> рекламного обращения и разрабатывается конкретная схема их размещения. </w:t>
      </w:r>
    </w:p>
    <w:p w:rsidR="0094502A" w:rsidRDefault="0094502A" w:rsidP="0094502A">
      <w:pPr>
        <w:pStyle w:val="a3"/>
        <w:rPr>
          <w:b/>
          <w:bCs/>
        </w:rPr>
      </w:pPr>
    </w:p>
    <w:p w:rsidR="0094502A" w:rsidRDefault="0094502A" w:rsidP="0094502A">
      <w:pPr>
        <w:pStyle w:val="a3"/>
        <w:rPr>
          <w:b/>
          <w:bCs/>
        </w:rPr>
      </w:pPr>
      <w:r>
        <w:rPr>
          <w:b/>
          <w:bCs/>
        </w:rPr>
        <w:t>Лекция № 2</w:t>
      </w:r>
    </w:p>
    <w:p w:rsidR="0094502A" w:rsidRDefault="0094502A" w:rsidP="0094502A">
      <w:pPr>
        <w:pStyle w:val="a3"/>
        <w:rPr>
          <w:b/>
          <w:bCs/>
        </w:rPr>
      </w:pPr>
    </w:p>
    <w:p w:rsidR="0094502A" w:rsidRDefault="0094502A" w:rsidP="0094502A">
      <w:pPr>
        <w:pStyle w:val="a3"/>
        <w:rPr>
          <w:b/>
          <w:bCs/>
        </w:rPr>
      </w:pPr>
      <w:r>
        <w:rPr>
          <w:b/>
          <w:bCs/>
        </w:rPr>
        <w:t>Лекция № 3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Существует два основных типа целевой аудитории: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целевая аудитория в сфере бизнеса (b2b – бизнес для бизнеса);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целевая аудитория в сфере индивидуального потребителя (b2c – бизнес для пользователей).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Определить целевую аудиторию в секторе b2c сложнее, чем в b2b. Это связано с тем, что b2b-сектор более </w:t>
      </w:r>
      <w:proofErr w:type="gramStart"/>
      <w:r>
        <w:t>стабилен</w:t>
      </w:r>
      <w:proofErr w:type="gramEnd"/>
      <w:r>
        <w:t xml:space="preserve"> и не подвержен сильным колебаниям спроса. В b2c-секторе целевая аудитория может изменяться в силу различных обстоятельств — появления на рынке новых предложений, демографических изменений и т. п. Для того чтобы приступить к изучению целевых аудиторий проводится СЕГМЕНТАЦИЯ (выделение) участка рынка, на котором эта аудиторию базируется. Целевой сегмент рынка — сегмент, в наибольшей степени соответствующий возможностям предприятия и особенностям развития рынка. Сегментация – деление потребителей на группы по устойчивым признакам. К целевой аудитории могут относиться и те, кто принимает решение о покупке, но не совершает ее.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После выявления сегмента рынка, определяется портретом целевой аудитории, выделив устойчивые характеристики: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1) </w:t>
      </w:r>
      <w:proofErr w:type="gramStart"/>
      <w:r>
        <w:t>географические</w:t>
      </w:r>
      <w:proofErr w:type="gramEnd"/>
      <w:r>
        <w:t xml:space="preserve">: где человек живет, работает, покупает товар. Это может быть местоположение региона, динамика его развития, численность и плотность населения, доступность средств массовой информации, структура коммерческой деятельности, климат, юридические ограничения, развитость транспортной сети.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2) демографические: возраст, пол, семейное положение и размер семьи, национальность, профессия, образование;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3) </w:t>
      </w:r>
      <w:proofErr w:type="gramStart"/>
      <w:r>
        <w:t>экономические</w:t>
      </w:r>
      <w:proofErr w:type="gramEnd"/>
      <w:r>
        <w:t xml:space="preserve">: занятость, уровень дохода, и как следствие покупательная способность;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4) психологические или </w:t>
      </w:r>
      <w:proofErr w:type="spellStart"/>
      <w:r>
        <w:t>психографические</w:t>
      </w:r>
      <w:proofErr w:type="spellEnd"/>
      <w:r>
        <w:t xml:space="preserve"> (стиль жизни): образ жизни, система ценностей. </w:t>
      </w:r>
    </w:p>
    <w:p w:rsidR="0094502A" w:rsidRDefault="0094502A" w:rsidP="001E6A05">
      <w:pPr>
        <w:pStyle w:val="a3"/>
        <w:spacing w:before="0" w:beforeAutospacing="0" w:after="0"/>
        <w:jc w:val="both"/>
      </w:pPr>
      <w:proofErr w:type="spellStart"/>
      <w:r>
        <w:t>Росситер</w:t>
      </w:r>
      <w:proofErr w:type="spellEnd"/>
      <w:r>
        <w:t xml:space="preserve"> и Перси утверждают, что эти четыре группы отражают различия в осведомленности и отношении: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-новая категория пользователей (НКП) обладает скрытым или пассивным желанием обладать товаром;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-приверженцы торговой марки (ПТМ) покупают товар данной марки по привычке;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-приверженцы других торговых марок (ПДТМ) по привычке покупают товары марок конкурентов и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-меняющие торговую марку (МТМ) обычно используют технологические и экономические критерии как причины для перемены марки, однако другие причины также нельзя исключать.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5) поведенческие характеристики: интенсивность использования товара, опыт его использования, приверженность торговой марке и т.д.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Чтобы добыть информацию о целевой аудитории используются анкеты, личных интервью, опросы по почте, в том числе электронной и телефону, использование технических сре</w:t>
      </w:r>
      <w:proofErr w:type="gramStart"/>
      <w:r>
        <w:t>дств в в</w:t>
      </w:r>
      <w:proofErr w:type="gramEnd"/>
      <w:r>
        <w:t xml:space="preserve">иде простейших датчиков, </w:t>
      </w:r>
      <w:proofErr w:type="spellStart"/>
      <w:r>
        <w:t>аудиметрических</w:t>
      </w:r>
      <w:proofErr w:type="spellEnd"/>
      <w:r>
        <w:t xml:space="preserve"> устройств (для исследования телевизионной аудитории) и применения компьютерных технологий.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Применительно к Интернету (и не только) разработан термин </w:t>
      </w:r>
      <w:proofErr w:type="spellStart"/>
      <w:r>
        <w:t>таргетинг</w:t>
      </w:r>
      <w:proofErr w:type="spellEnd"/>
      <w:r>
        <w:t xml:space="preserve"> (или </w:t>
      </w:r>
      <w:proofErr w:type="spellStart"/>
      <w:r>
        <w:t>таргетирование</w:t>
      </w:r>
      <w:proofErr w:type="spellEnd"/>
      <w:r>
        <w:t xml:space="preserve">) – механизм, позволяющий выделить целевую аудиторию, отвечающую определенным критериям, различными методами: от простого подбора рекламных площадок до обработки запросов через поисковую систему, и показывать рекламу именно ей.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rPr>
          <w:b/>
          <w:bCs/>
        </w:rPr>
        <w:t>Профиль аудитории</w:t>
      </w:r>
      <w:r>
        <w:t xml:space="preserve"> – характеристики состава аудитории СМИ, учитывающие возраст, размер семьи, место проживания, образовательный уровень, доход и </w:t>
      </w:r>
      <w:proofErr w:type="spellStart"/>
      <w:r>
        <w:t>др</w:t>
      </w:r>
      <w:proofErr w:type="gramStart"/>
      <w:r>
        <w:t>.п</w:t>
      </w:r>
      <w:proofErr w:type="gramEnd"/>
      <w:r>
        <w:t>араметры</w:t>
      </w:r>
      <w:proofErr w:type="spellEnd"/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Профиль целевой аудитории – это совокупность характеристик, сгруппированных по четырем направлениям: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1)</w:t>
      </w:r>
      <w:proofErr w:type="gramStart"/>
      <w:r>
        <w:t>географические</w:t>
      </w:r>
      <w:proofErr w:type="gramEnd"/>
      <w:r>
        <w:t xml:space="preserve">: где человек живет, работает, покупает товар. Это может быть местоположение региона, динамика его развития, численность и плотность населения, доступность средств массовой информации, структура коммерческой деятельности, климат, юридические ограничения, развитость транспортной сети.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2)Социальн</w:t>
      </w:r>
      <w:proofErr w:type="gramStart"/>
      <w:r>
        <w:t>о-</w:t>
      </w:r>
      <w:proofErr w:type="gramEnd"/>
      <w:r>
        <w:t xml:space="preserve"> демографические: возраст, пол, семейное положение и размер семьи, национальность, профессия, образование;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3)</w:t>
      </w:r>
      <w:proofErr w:type="gramStart"/>
      <w:r>
        <w:t>экономические</w:t>
      </w:r>
      <w:proofErr w:type="gramEnd"/>
      <w:r>
        <w:t xml:space="preserve">: занятость, уровень дохода, и как следствие покупательная способность;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4)психологические или </w:t>
      </w:r>
      <w:proofErr w:type="spellStart"/>
      <w:r>
        <w:t>психографические</w:t>
      </w:r>
      <w:proofErr w:type="spellEnd"/>
      <w:r>
        <w:t xml:space="preserve"> (стиль жизни): </w:t>
      </w:r>
      <w:proofErr w:type="gramStart"/>
      <w:r>
        <w:t>-</w:t>
      </w:r>
      <w:proofErr w:type="spellStart"/>
      <w:r>
        <w:t>б</w:t>
      </w:r>
      <w:proofErr w:type="gramEnd"/>
      <w:r>
        <w:t>раз</w:t>
      </w:r>
      <w:proofErr w:type="spellEnd"/>
      <w:r>
        <w:t xml:space="preserve"> жизни, система ценностей. </w:t>
      </w:r>
    </w:p>
    <w:p w:rsidR="0094502A" w:rsidRDefault="0094502A" w:rsidP="001E6A05">
      <w:pPr>
        <w:pStyle w:val="a3"/>
        <w:spacing w:before="0" w:beforeAutospacing="0" w:after="0"/>
        <w:jc w:val="both"/>
      </w:pPr>
      <w:proofErr w:type="spellStart"/>
      <w:r>
        <w:t>Росситер</w:t>
      </w:r>
      <w:proofErr w:type="spellEnd"/>
      <w:r>
        <w:t xml:space="preserve"> и Перси утверждают, что эти четыре группы отражают различия в осведомленности и отношении: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-новая категория пользователей (НКП) обладает скрытым или пассивным желанием обладать товаром;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-приверженцы торговой марки (ПТМ) покупают товар данной марки по привычке;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-приверженцы других торговых марок (ПДТМ) по привычке покупают товары марок конкурентов и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-меняющие торговую марку (МТМ) обычно используют технологические и экономические критерии как причины для перемены марки, однако другие причины также нельзя исключать.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5) поведенческие характеристики: интенсивность использования товара, опыт его использования, приверженность торговой марке и т.д.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При выборе конкретных СМИ для размещения рекламы необходимо учесть </w:t>
      </w:r>
      <w:r>
        <w:rPr>
          <w:u w:val="single"/>
        </w:rPr>
        <w:t xml:space="preserve">Характер аудитории каждого рекламного средства, </w:t>
      </w:r>
      <w:r>
        <w:t xml:space="preserve">помимо остальных не менее важных факторов (география распространения, </w:t>
      </w:r>
      <w:proofErr w:type="spellStart"/>
      <w:r>
        <w:t>рентаьбельность</w:t>
      </w:r>
      <w:proofErr w:type="spellEnd"/>
      <w:r>
        <w:t xml:space="preserve"> и т.д.). Каждое издание анализируется по индексу соответствия и соответствия рекламному сообщению и принимается решение о включении в р. кампанию. </w:t>
      </w:r>
      <w:r>
        <w:rPr>
          <w:b/>
          <w:bCs/>
        </w:rPr>
        <w:t>Индекс соответствия (</w:t>
      </w:r>
      <w:proofErr w:type="spellStart"/>
      <w:r>
        <w:rPr>
          <w:b/>
          <w:bCs/>
        </w:rPr>
        <w:t>Affinity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Index</w:t>
      </w:r>
      <w:proofErr w:type="spellEnd"/>
      <w:r>
        <w:rPr>
          <w:b/>
          <w:bCs/>
        </w:rPr>
        <w:t>)</w:t>
      </w:r>
      <w:r>
        <w:t xml:space="preserve"> - </w:t>
      </w:r>
      <w:r>
        <w:lastRenderedPageBreak/>
        <w:t xml:space="preserve">индекс, показывающий, насколько чаще издание читают представители целевой группы, чем население в целом (рейтинг в целевой группе, деленный на рейтинг генеральной совокупности, умноженный на 100).При выборе СМИ </w:t>
      </w:r>
      <w:proofErr w:type="spellStart"/>
      <w:r>
        <w:t>Affinity</w:t>
      </w:r>
      <w:proofErr w:type="spellEnd"/>
      <w:r>
        <w:t xml:space="preserve"> </w:t>
      </w:r>
      <w:proofErr w:type="spellStart"/>
      <w:r>
        <w:t>Index</w:t>
      </w:r>
      <w:proofErr w:type="spellEnd"/>
      <w:r>
        <w:t xml:space="preserve"> должен быть более 110, иначе размещение неэффективно.</w:t>
      </w:r>
    </w:p>
    <w:p w:rsidR="0094502A" w:rsidRDefault="0094502A" w:rsidP="001E6A05">
      <w:pPr>
        <w:pStyle w:val="a3"/>
        <w:spacing w:before="0" w:beforeAutospacing="0" w:after="0"/>
        <w:jc w:val="both"/>
      </w:pPr>
      <w:proofErr w:type="spellStart"/>
      <w:r>
        <w:rPr>
          <w:b/>
          <w:bCs/>
        </w:rPr>
        <w:t>Aff</w:t>
      </w:r>
      <w:proofErr w:type="spellEnd"/>
      <w:r>
        <w:t xml:space="preserve"> </w:t>
      </w:r>
      <w:r>
        <w:rPr>
          <w:b/>
          <w:bCs/>
        </w:rPr>
        <w:t xml:space="preserve">= </w:t>
      </w:r>
      <w:r>
        <w:rPr>
          <w:b/>
          <w:bCs/>
          <w:noProof/>
          <w:lang w:eastAsia="ru-RU"/>
        </w:rPr>
        <w:drawing>
          <wp:inline distT="0" distB="0" distL="0" distR="0" wp14:anchorId="43A5E48F" wp14:editId="4E3E0AB4">
            <wp:extent cx="990600" cy="571500"/>
            <wp:effectExtent l="0" t="0" r="0" b="0"/>
            <wp:docPr id="1" name="Рисунок 1" descr="7369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36924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rPr>
          <w:b/>
          <w:bCs/>
        </w:rPr>
        <w:t xml:space="preserve">Понятие концепции апертуры в </w:t>
      </w:r>
      <w:proofErr w:type="spellStart"/>
      <w:r>
        <w:rPr>
          <w:b/>
          <w:bCs/>
        </w:rPr>
        <w:t>медиапланировании</w:t>
      </w:r>
      <w:proofErr w:type="spellEnd"/>
      <w:r>
        <w:t xml:space="preserve">. От аудитории многое зависит. Так она определяет эффективность. Есть такое понятие </w:t>
      </w:r>
      <w:proofErr w:type="spellStart"/>
      <w:r>
        <w:t>аперитура</w:t>
      </w:r>
      <w:proofErr w:type="spellEnd"/>
      <w:r>
        <w:t xml:space="preserve">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Апертура (от лат. </w:t>
      </w:r>
      <w:proofErr w:type="spellStart"/>
      <w:r>
        <w:t>apertura</w:t>
      </w:r>
      <w:proofErr w:type="spellEnd"/>
      <w:r>
        <w:t xml:space="preserve">, анат. апертура, отверстие, устье) - идеальный момент для предоставления потребителям рекламного сообщения. Термин относится к основам </w:t>
      </w:r>
      <w:proofErr w:type="spellStart"/>
      <w:r>
        <w:t>медиапланирования</w:t>
      </w:r>
      <w:proofErr w:type="spellEnd"/>
      <w:r>
        <w:t xml:space="preserve">. Для каждого потенциального потребителя продукта или услуги теоретически существует идеальное время и пространство, когда он может получить рекламное сообщение. Этот момент может возникать, когда потребитель находится в т.н. «коридоре поиска» (режим покупки) или ищет более подробную информацию, прежде чем вступить в этот коридор; т.е. когда интерес и внимание к товару достаточно высоки. 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 xml:space="preserve">Успех зависит от точности маркетингового исследования, концепции сообщения и тонкого понимания возможностей каналов </w:t>
      </w:r>
      <w:proofErr w:type="spellStart"/>
      <w:r>
        <w:t>массмедиа</w:t>
      </w:r>
      <w:proofErr w:type="spellEnd"/>
      <w:r>
        <w:t>.</w:t>
      </w:r>
    </w:p>
    <w:p w:rsidR="0094502A" w:rsidRDefault="0094502A" w:rsidP="001E6A05">
      <w:pPr>
        <w:pStyle w:val="a3"/>
        <w:spacing w:before="0" w:beforeAutospacing="0" w:after="0"/>
        <w:jc w:val="both"/>
      </w:pPr>
      <w:r>
        <w:t>Момент, когда нужно проводить рекламу, может означать сезон, месяц или время дня, но все это укладывается в концепцию апертуры. Стратегия для решения этих задач включает в себя баланс имеющихся финансов и продолжительности кампании. Стратегия постоянного воздействия равномерно распределяет распространение рекламы на протяжении всего периода, не меняя ее интенсивность. Медиа-планировщики, которые не могут себе позволить или не хотят составлять постоянный график, могут рассмотреть два других метода: модель пульсирующего воздействия и модель очагового воздействия.</w:t>
      </w:r>
    </w:p>
    <w:p w:rsidR="0094502A" w:rsidRPr="008D53A2" w:rsidRDefault="00B66CF7" w:rsidP="0094502A">
      <w:pPr>
        <w:pStyle w:val="a3"/>
        <w:rPr>
          <w:b/>
        </w:rPr>
      </w:pPr>
      <w:r w:rsidRPr="008D53A2">
        <w:rPr>
          <w:b/>
        </w:rPr>
        <w:t>Тест: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Определение маркетинговой проблемы является:</w:t>
      </w:r>
    </w:p>
    <w:p w:rsidR="00B66CF7" w:rsidRPr="00B66CF7" w:rsidRDefault="00B66CF7" w:rsidP="00B66CF7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медиацелью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решением по выбору СМИ;</w:t>
      </w:r>
    </w:p>
    <w:p w:rsidR="00B66CF7" w:rsidRPr="00B66CF7" w:rsidRDefault="00B66CF7" w:rsidP="00B66CF7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одной из составляющих концепции будущего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медиаплана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задачей, не связанной с метапланированием;</w:t>
      </w:r>
    </w:p>
    <w:p w:rsidR="00B66CF7" w:rsidRPr="00B66CF7" w:rsidRDefault="00B66CF7" w:rsidP="00B66CF7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частью </w:t>
      </w:r>
      <w:r w:rsidRPr="00B66CF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PR</w:t>
      </w: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-стратегии.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Этапом</w:t>
      </w: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подготовки рекламной кампании является:</w:t>
      </w:r>
    </w:p>
    <w:p w:rsidR="00B66CF7" w:rsidRPr="00B66CF7" w:rsidRDefault="00B66CF7" w:rsidP="00B66CF7">
      <w:pPr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изучение интегрированных маркетинговых коммуникаций;</w:t>
      </w:r>
    </w:p>
    <w:p w:rsidR="00B66CF7" w:rsidRPr="00B66CF7" w:rsidRDefault="00B66CF7" w:rsidP="00B66CF7">
      <w:pPr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создание и вывод на рынок нового товара;</w:t>
      </w:r>
    </w:p>
    <w:p w:rsidR="00B66CF7" w:rsidRPr="00B66CF7" w:rsidRDefault="00B66CF7" w:rsidP="00B66CF7">
      <w:pPr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составление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медиаплана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выделение рекламного бюджета; </w:t>
      </w:r>
    </w:p>
    <w:p w:rsidR="00B66CF7" w:rsidRPr="00B66CF7" w:rsidRDefault="00B66CF7" w:rsidP="00B66CF7">
      <w:pPr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разработка слогана.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Для увеличения охвата целевой аудитории целесообразно применять:</w:t>
      </w:r>
    </w:p>
    <w:p w:rsidR="00B66CF7" w:rsidRPr="00B66CF7" w:rsidRDefault="00B66CF7" w:rsidP="00B66CF7">
      <w:pPr>
        <w:numPr>
          <w:ilvl w:val="0"/>
          <w:numId w:val="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медиа-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микс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4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Стратегию «Одного СМИ»;</w:t>
      </w:r>
    </w:p>
    <w:p w:rsidR="00B66CF7" w:rsidRPr="00B66CF7" w:rsidRDefault="00B66CF7" w:rsidP="00B66CF7">
      <w:pPr>
        <w:numPr>
          <w:ilvl w:val="0"/>
          <w:numId w:val="4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BTL;</w:t>
      </w:r>
    </w:p>
    <w:p w:rsidR="00B66CF7" w:rsidRPr="00B66CF7" w:rsidRDefault="00B66CF7" w:rsidP="00B66CF7">
      <w:pPr>
        <w:numPr>
          <w:ilvl w:val="0"/>
          <w:numId w:val="4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M</w:t>
      </w:r>
      <w:proofErr w:type="gram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АХ</w:t>
      </w:r>
      <w:proofErr w:type="gram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media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66CF7" w:rsidRPr="00B66CF7" w:rsidRDefault="00B66CF7" w:rsidP="00B66CF7">
      <w:pPr>
        <w:numPr>
          <w:ilvl w:val="0"/>
          <w:numId w:val="4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Mix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communication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(стратегия ИМК);</w:t>
      </w:r>
    </w:p>
    <w:p w:rsidR="00B66CF7" w:rsidRPr="00B66CF7" w:rsidRDefault="00B66CF7" w:rsidP="00B66CF7">
      <w:pPr>
        <w:spacing w:after="0" w:line="240" w:lineRule="auto"/>
        <w:ind w:left="65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Паттерн цикла покупки, паттерн известности, сезонный паттерн применяют </w:t>
      </w:r>
      <w:proofErr w:type="gram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</w:t>
      </w:r>
      <w:proofErr w:type="gram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</w:t>
      </w:r>
    </w:p>
    <w:p w:rsidR="00B66CF7" w:rsidRPr="00B66CF7" w:rsidRDefault="00B66CF7" w:rsidP="00B66CF7">
      <w:pPr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неустойчивых товаров;</w:t>
      </w:r>
    </w:p>
    <w:p w:rsidR="00B66CF7" w:rsidRPr="00B66CF7" w:rsidRDefault="00B66CF7" w:rsidP="00B66CF7">
      <w:pPr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устойчивых товаров;</w:t>
      </w:r>
    </w:p>
    <w:p w:rsidR="00B66CF7" w:rsidRPr="00B66CF7" w:rsidRDefault="00B66CF7" w:rsidP="00B66CF7">
      <w:pPr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сезонных скидок;</w:t>
      </w:r>
    </w:p>
    <w:p w:rsidR="00B66CF7" w:rsidRPr="00B66CF7" w:rsidRDefault="00B66CF7" w:rsidP="00B66CF7">
      <w:pPr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повышения имиджа;</w:t>
      </w:r>
    </w:p>
    <w:p w:rsidR="00B66CF7" w:rsidRPr="00B66CF7" w:rsidRDefault="00B66CF7" w:rsidP="00B66CF7">
      <w:pPr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развития логистики;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Охват – это:</w:t>
      </w:r>
    </w:p>
    <w:p w:rsidR="00B66CF7" w:rsidRPr="00B66CF7" w:rsidRDefault="00B66CF7" w:rsidP="00B66CF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Reach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6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GRP;</w:t>
      </w:r>
    </w:p>
    <w:p w:rsidR="00B66CF7" w:rsidRPr="00B66CF7" w:rsidRDefault="00B66CF7" w:rsidP="00B66CF7">
      <w:pPr>
        <w:numPr>
          <w:ilvl w:val="0"/>
          <w:numId w:val="6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Share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6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Frequency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6"/>
        </w:numPr>
        <w:spacing w:after="0" w:line="240" w:lineRule="auto"/>
        <w:ind w:left="658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GPS.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Распределение активных периодов рекламной кампании это:</w:t>
      </w:r>
    </w:p>
    <w:p w:rsidR="00B66CF7" w:rsidRPr="00B66CF7" w:rsidRDefault="00B66CF7" w:rsidP="00B66CF7">
      <w:pPr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охват целевой аудитории за единицу времени;</w:t>
      </w:r>
    </w:p>
    <w:p w:rsidR="00B66CF7" w:rsidRPr="00B66CF7" w:rsidRDefault="00B66CF7" w:rsidP="00B66CF7">
      <w:pPr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доли аудитории определенной программы;</w:t>
      </w:r>
    </w:p>
    <w:p w:rsidR="00B66CF7" w:rsidRPr="00B66CF7" w:rsidRDefault="00B66CF7" w:rsidP="00B66CF7">
      <w:pPr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Паттерн-охват;</w:t>
      </w:r>
    </w:p>
    <w:p w:rsidR="00B66CF7" w:rsidRPr="00B66CF7" w:rsidRDefault="00B66CF7" w:rsidP="00B66CF7">
      <w:pPr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Паттерн-захват;</w:t>
      </w:r>
    </w:p>
    <w:p w:rsidR="00B66CF7" w:rsidRPr="00B66CF7" w:rsidRDefault="00B66CF7" w:rsidP="00B66CF7">
      <w:pPr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единица измерения охвата аудитории.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Для</w:t>
      </w: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товаров и услуг с длинным циклом покупки и требующих длительного времени принятия решения применяют: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Паттерн известности;</w:t>
      </w:r>
    </w:p>
    <w:p w:rsidR="00B66CF7" w:rsidRPr="00B66CF7" w:rsidRDefault="00B66CF7" w:rsidP="00B66CF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Паттерн цикла покупки;</w:t>
      </w:r>
    </w:p>
    <w:p w:rsidR="00B66CF7" w:rsidRPr="00B66CF7" w:rsidRDefault="00B66CF7" w:rsidP="00B66CF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Сезонный паттерн;</w:t>
      </w:r>
    </w:p>
    <w:p w:rsidR="00B66CF7" w:rsidRPr="00B66CF7" w:rsidRDefault="00B66CF7" w:rsidP="00B66CF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Паттерн неизвестности;</w:t>
      </w:r>
    </w:p>
    <w:p w:rsidR="00B66CF7" w:rsidRPr="00B66CF7" w:rsidRDefault="00B66CF7" w:rsidP="00B66CF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Ни один из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перечисенных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Что такое «просмотровая яма»?</w:t>
      </w:r>
    </w:p>
    <w:p w:rsidR="00B66CF7" w:rsidRPr="00B66CF7" w:rsidRDefault="00B66CF7" w:rsidP="00B66CF7">
      <w:pPr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наибольшего охвата аудитории телеканала или радиостанцией;</w:t>
      </w:r>
    </w:p>
    <w:p w:rsidR="00B66CF7" w:rsidRPr="00B66CF7" w:rsidRDefault="00B66CF7" w:rsidP="00B66CF7">
      <w:pPr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вторая минута трехминутного рекламного ролика на ТВ;</w:t>
      </w:r>
    </w:p>
    <w:p w:rsidR="00B66CF7" w:rsidRPr="00B66CF7" w:rsidRDefault="00B66CF7" w:rsidP="00B66CF7">
      <w:pPr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первые тридцать секунд ролика;</w:t>
      </w:r>
    </w:p>
    <w:p w:rsidR="00B66CF7" w:rsidRPr="00B66CF7" w:rsidRDefault="00B66CF7" w:rsidP="00B66CF7">
      <w:pPr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часть помещения гаража;</w:t>
      </w:r>
    </w:p>
    <w:p w:rsidR="00B66CF7" w:rsidRPr="00B66CF7" w:rsidRDefault="00B66CF7" w:rsidP="00B66CF7">
      <w:pPr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неудачный медиаплан.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Реклама, 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PR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сэйлз</w:t>
      </w:r>
      <w:proofErr w:type="spell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промоушн</w:t>
      </w:r>
      <w:proofErr w:type="spell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прямой маркетинг являются элементами:  </w:t>
      </w:r>
    </w:p>
    <w:p w:rsidR="00B66CF7" w:rsidRPr="00B66CF7" w:rsidRDefault="00B66CF7" w:rsidP="00B66CF7">
      <w:pPr>
        <w:numPr>
          <w:ilvl w:val="0"/>
          <w:numId w:val="10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интегрированных маркетинговых коммуникаций;</w:t>
      </w:r>
    </w:p>
    <w:p w:rsidR="00B66CF7" w:rsidRPr="00B66CF7" w:rsidRDefault="00B66CF7" w:rsidP="00B66CF7">
      <w:pPr>
        <w:numPr>
          <w:ilvl w:val="0"/>
          <w:numId w:val="10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масс-медиа;</w:t>
      </w:r>
    </w:p>
    <w:p w:rsidR="00B66CF7" w:rsidRPr="00B66CF7" w:rsidRDefault="00B66CF7" w:rsidP="00B66CF7">
      <w:pPr>
        <w:numPr>
          <w:ilvl w:val="0"/>
          <w:numId w:val="10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производства продукции;</w:t>
      </w:r>
    </w:p>
    <w:p w:rsidR="00B66CF7" w:rsidRPr="00B66CF7" w:rsidRDefault="00B66CF7" w:rsidP="00B66CF7">
      <w:pPr>
        <w:numPr>
          <w:ilvl w:val="0"/>
          <w:numId w:val="10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брендинга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10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только западной экономической культуры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Определенное количество повторов, обеспечивающее накапливание информации у целевой аудитории, это:</w:t>
      </w:r>
    </w:p>
    <w:p w:rsidR="00B66CF7" w:rsidRPr="00B66CF7" w:rsidRDefault="00B66CF7" w:rsidP="00B66CF7">
      <w:pPr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Кумулятивный эффект рекламы в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медиапланировании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информирование целевой аудитории о выходе товаров;</w:t>
      </w:r>
    </w:p>
    <w:p w:rsidR="00B66CF7" w:rsidRPr="00B66CF7" w:rsidRDefault="00B66CF7" w:rsidP="00B66CF7">
      <w:pPr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содержание рекламного сообщения;</w:t>
      </w:r>
    </w:p>
    <w:p w:rsidR="00B66CF7" w:rsidRPr="00B66CF7" w:rsidRDefault="00B66CF7" w:rsidP="00B66CF7">
      <w:pPr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освоение рекламного бюджета;</w:t>
      </w:r>
    </w:p>
    <w:p w:rsidR="00B66CF7" w:rsidRPr="00B66CF7" w:rsidRDefault="00B66CF7" w:rsidP="00B66CF7">
      <w:pPr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максимальное количество повторов рекламного сообщения.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Тест № 2</w:t>
      </w:r>
    </w:p>
    <w:p w:rsid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Чем можно объяснить применение метода медиа-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микс</w:t>
      </w:r>
      <w:proofErr w:type="spell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  <w:t xml:space="preserve">в 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медиапланировании</w:t>
      </w:r>
      <w:proofErr w:type="spell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? </w:t>
      </w:r>
    </w:p>
    <w:p w:rsidR="00B66CF7" w:rsidRPr="00B66CF7" w:rsidRDefault="00B66CF7" w:rsidP="00B66CF7">
      <w:pPr>
        <w:numPr>
          <w:ilvl w:val="0"/>
          <w:numId w:val="1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относительной дешевизной;</w:t>
      </w:r>
    </w:p>
    <w:p w:rsidR="00B66CF7" w:rsidRPr="00B66CF7" w:rsidRDefault="00B66CF7" w:rsidP="00B66CF7">
      <w:pPr>
        <w:numPr>
          <w:ilvl w:val="0"/>
          <w:numId w:val="1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усилением воздействия на целевую аудиторию за счет яркости сообщения;</w:t>
      </w:r>
    </w:p>
    <w:p w:rsidR="00B66CF7" w:rsidRPr="00B66CF7" w:rsidRDefault="00B66CF7" w:rsidP="00B66CF7">
      <w:pPr>
        <w:numPr>
          <w:ilvl w:val="0"/>
          <w:numId w:val="1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увеличением частоты и охвата за счет увеличения количества медиа-носителей;</w:t>
      </w:r>
    </w:p>
    <w:p w:rsidR="00B66CF7" w:rsidRPr="00B66CF7" w:rsidRDefault="00B66CF7" w:rsidP="00B66CF7">
      <w:pPr>
        <w:numPr>
          <w:ilvl w:val="0"/>
          <w:numId w:val="1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уменьшением частоты и охвата за счет увеличения количества медиа-носителей;</w:t>
      </w:r>
    </w:p>
    <w:p w:rsidR="00B66CF7" w:rsidRPr="00B66CF7" w:rsidRDefault="00B66CF7" w:rsidP="00B66CF7">
      <w:pPr>
        <w:numPr>
          <w:ilvl w:val="0"/>
          <w:numId w:val="1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всеобщим трендом сегодняшнего дня.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Процесс выбора средств, места, времени, размера и частоты рекламы это:  </w:t>
      </w:r>
    </w:p>
    <w:p w:rsidR="00B66CF7" w:rsidRPr="00B66CF7" w:rsidRDefault="00B66CF7" w:rsidP="00B66CF7">
      <w:pPr>
        <w:numPr>
          <w:ilvl w:val="0"/>
          <w:numId w:val="1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медиапланирование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1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деятельность по сбору, обработки и передачи информации в СМИ;</w:t>
      </w:r>
    </w:p>
    <w:p w:rsidR="00B66CF7" w:rsidRPr="00B66CF7" w:rsidRDefault="00B66CF7" w:rsidP="00B66CF7">
      <w:pPr>
        <w:numPr>
          <w:ilvl w:val="0"/>
          <w:numId w:val="1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 деятельности, направленный на повышение эффективности рекламы в СМИ;</w:t>
      </w:r>
    </w:p>
    <w:p w:rsidR="00B66CF7" w:rsidRPr="00B66CF7" w:rsidRDefault="00B66CF7" w:rsidP="00B66CF7">
      <w:pPr>
        <w:numPr>
          <w:ilvl w:val="0"/>
          <w:numId w:val="1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стратегическое мышление;</w:t>
      </w:r>
    </w:p>
    <w:p w:rsidR="00B66CF7" w:rsidRPr="00B66CF7" w:rsidRDefault="00B66CF7" w:rsidP="00B66CF7">
      <w:pPr>
        <w:numPr>
          <w:ilvl w:val="0"/>
          <w:numId w:val="1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анализ популярности  СМИ.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 какими дисциплинами взаимодействует 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медиапланирование</w:t>
      </w:r>
      <w:proofErr w:type="spell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?</w:t>
      </w:r>
    </w:p>
    <w:p w:rsidR="00B66CF7" w:rsidRPr="00B66CF7" w:rsidRDefault="00B66CF7" w:rsidP="00B66CF7">
      <w:pPr>
        <w:numPr>
          <w:ilvl w:val="0"/>
          <w:numId w:val="1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социологией;</w:t>
      </w:r>
    </w:p>
    <w:p w:rsidR="00B66CF7" w:rsidRPr="00B66CF7" w:rsidRDefault="00B66CF7" w:rsidP="00B66CF7">
      <w:pPr>
        <w:numPr>
          <w:ilvl w:val="0"/>
          <w:numId w:val="1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маркетингом;</w:t>
      </w:r>
    </w:p>
    <w:p w:rsidR="00B66CF7" w:rsidRPr="00B66CF7" w:rsidRDefault="00B66CF7" w:rsidP="00B66CF7">
      <w:pPr>
        <w:numPr>
          <w:ilvl w:val="0"/>
          <w:numId w:val="1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экономикой;</w:t>
      </w:r>
    </w:p>
    <w:p w:rsidR="00B66CF7" w:rsidRPr="00B66CF7" w:rsidRDefault="00B66CF7" w:rsidP="00B66CF7">
      <w:pPr>
        <w:numPr>
          <w:ilvl w:val="0"/>
          <w:numId w:val="1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рекламой;</w:t>
      </w:r>
    </w:p>
    <w:p w:rsidR="00B66CF7" w:rsidRPr="00B66CF7" w:rsidRDefault="00B66CF7" w:rsidP="00B66CF7">
      <w:pPr>
        <w:numPr>
          <w:ilvl w:val="0"/>
          <w:numId w:val="1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телережиссурой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Время наибольшего охвата аудитории телеканала – это:</w:t>
      </w:r>
    </w:p>
    <w:p w:rsidR="00B66CF7" w:rsidRPr="00B66CF7" w:rsidRDefault="00B66CF7" w:rsidP="00B66CF7">
      <w:pPr>
        <w:numPr>
          <w:ilvl w:val="0"/>
          <w:numId w:val="1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начала рекламной кампании;</w:t>
      </w:r>
    </w:p>
    <w:p w:rsidR="00B66CF7" w:rsidRPr="00B66CF7" w:rsidRDefault="00B66CF7" w:rsidP="00B66CF7">
      <w:pPr>
        <w:numPr>
          <w:ilvl w:val="0"/>
          <w:numId w:val="1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прайм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-тайм;</w:t>
      </w:r>
    </w:p>
    <w:p w:rsidR="00B66CF7" w:rsidRPr="00B66CF7" w:rsidRDefault="00B66CF7" w:rsidP="00B66CF7">
      <w:pPr>
        <w:numPr>
          <w:ilvl w:val="0"/>
          <w:numId w:val="1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прохождения рекламной кампании;</w:t>
      </w:r>
    </w:p>
    <w:p w:rsidR="00B66CF7" w:rsidRPr="00B66CF7" w:rsidRDefault="00B66CF7" w:rsidP="00B66CF7">
      <w:pPr>
        <w:numPr>
          <w:ilvl w:val="0"/>
          <w:numId w:val="1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«Первое время»;</w:t>
      </w:r>
    </w:p>
    <w:p w:rsidR="00B66CF7" w:rsidRPr="00B66CF7" w:rsidRDefault="00B66CF7" w:rsidP="00B66CF7">
      <w:pPr>
        <w:numPr>
          <w:ilvl w:val="0"/>
          <w:numId w:val="1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завершения рекламной кампании.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Блиц-паттерн, паттерн известности, клин-паттерн используются </w:t>
      </w:r>
      <w:proofErr w:type="gram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</w:t>
      </w:r>
      <w:proofErr w:type="gram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</w:t>
      </w:r>
    </w:p>
    <w:p w:rsidR="00B66CF7" w:rsidRPr="00B66CF7" w:rsidRDefault="00B66CF7" w:rsidP="00B66CF7">
      <w:pPr>
        <w:numPr>
          <w:ilvl w:val="0"/>
          <w:numId w:val="17"/>
        </w:numPr>
        <w:spacing w:after="0" w:line="240" w:lineRule="auto"/>
        <w:ind w:left="63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выведения товаров на рынок;</w:t>
      </w:r>
    </w:p>
    <w:p w:rsidR="00B66CF7" w:rsidRPr="00B66CF7" w:rsidRDefault="00B66CF7" w:rsidP="00B66CF7">
      <w:pPr>
        <w:numPr>
          <w:ilvl w:val="0"/>
          <w:numId w:val="1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увеличения сезонных продаж;</w:t>
      </w:r>
    </w:p>
    <w:p w:rsidR="00B66CF7" w:rsidRPr="00B66CF7" w:rsidRDefault="00B66CF7" w:rsidP="00B66CF7">
      <w:pPr>
        <w:numPr>
          <w:ilvl w:val="0"/>
          <w:numId w:val="1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вывода товаров с рынка;</w:t>
      </w:r>
    </w:p>
    <w:p w:rsidR="00B66CF7" w:rsidRPr="00B66CF7" w:rsidRDefault="00B66CF7" w:rsidP="00B66CF7">
      <w:pPr>
        <w:numPr>
          <w:ilvl w:val="0"/>
          <w:numId w:val="1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целей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медиапланирования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17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завершения рекламной кампании;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Pr="00B66CF7">
        <w:rPr>
          <w:rFonts w:ascii="Times New Roman" w:hAnsi="Times New Roman" w:cs="Times New Roman"/>
          <w:b/>
          <w:sz w:val="20"/>
          <w:szCs w:val="20"/>
        </w:rPr>
        <w:t>Какая из приведенных схем охвата аудитории используется при рекламировании нового товара?</w:t>
      </w:r>
    </w:p>
    <w:p w:rsidR="00B66CF7" w:rsidRPr="00B66CF7" w:rsidRDefault="00B66CF7" w:rsidP="00B66CF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6CF7">
        <w:rPr>
          <w:rFonts w:ascii="Times New Roman" w:hAnsi="Times New Roman" w:cs="Times New Roman"/>
          <w:sz w:val="20"/>
          <w:szCs w:val="20"/>
        </w:rPr>
        <w:t>Схема для обычного цикла приобретения;</w:t>
      </w:r>
    </w:p>
    <w:p w:rsidR="00B66CF7" w:rsidRPr="00B66CF7" w:rsidRDefault="00B66CF7" w:rsidP="00B66CF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6CF7">
        <w:rPr>
          <w:rFonts w:ascii="Times New Roman" w:hAnsi="Times New Roman" w:cs="Times New Roman"/>
          <w:sz w:val="20"/>
          <w:szCs w:val="20"/>
        </w:rPr>
        <w:t>Схема «обратный клин»;</w:t>
      </w:r>
    </w:p>
    <w:p w:rsidR="00B66CF7" w:rsidRPr="00B66CF7" w:rsidRDefault="00B66CF7" w:rsidP="00B66CF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6CF7">
        <w:rPr>
          <w:rFonts w:ascii="Times New Roman" w:hAnsi="Times New Roman" w:cs="Times New Roman"/>
          <w:sz w:val="20"/>
          <w:szCs w:val="20"/>
        </w:rPr>
        <w:t>Схема осведомленности;</w:t>
      </w:r>
    </w:p>
    <w:p w:rsidR="00B66CF7" w:rsidRPr="00B66CF7" w:rsidRDefault="00B66CF7" w:rsidP="00B66CF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6CF7">
        <w:rPr>
          <w:rFonts w:ascii="Times New Roman" w:hAnsi="Times New Roman" w:cs="Times New Roman"/>
          <w:sz w:val="20"/>
          <w:szCs w:val="20"/>
        </w:rPr>
        <w:t>Схема сезонного опережения;</w:t>
      </w:r>
    </w:p>
    <w:p w:rsidR="00B66CF7" w:rsidRPr="00B66CF7" w:rsidRDefault="00B66CF7" w:rsidP="00B66CF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6CF7">
        <w:rPr>
          <w:rFonts w:ascii="Times New Roman" w:hAnsi="Times New Roman" w:cs="Times New Roman"/>
          <w:sz w:val="20"/>
          <w:szCs w:val="20"/>
        </w:rPr>
        <w:t xml:space="preserve">Схема неосведомленности.  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Какие критерии необходимо учитывать при выборе 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рекламоносителей</w:t>
      </w:r>
      <w:proofErr w:type="spell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?</w:t>
      </w:r>
    </w:p>
    <w:p w:rsidR="00B66CF7" w:rsidRPr="00B66CF7" w:rsidRDefault="00B66CF7" w:rsidP="00B66CF7">
      <w:pPr>
        <w:numPr>
          <w:ilvl w:val="0"/>
          <w:numId w:val="1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охват потенциальных покупателей;</w:t>
      </w:r>
    </w:p>
    <w:p w:rsidR="00B66CF7" w:rsidRPr="00B66CF7" w:rsidRDefault="00B66CF7" w:rsidP="00B66CF7">
      <w:pPr>
        <w:numPr>
          <w:ilvl w:val="0"/>
          <w:numId w:val="1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стоимость;</w:t>
      </w:r>
    </w:p>
    <w:p w:rsidR="00B66CF7" w:rsidRPr="00B66CF7" w:rsidRDefault="00B66CF7" w:rsidP="00B66CF7">
      <w:pPr>
        <w:numPr>
          <w:ilvl w:val="0"/>
          <w:numId w:val="1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отношение потребителей к рекламе;</w:t>
      </w:r>
    </w:p>
    <w:p w:rsidR="00B66CF7" w:rsidRPr="00B66CF7" w:rsidRDefault="00B66CF7" w:rsidP="00B66CF7">
      <w:pPr>
        <w:numPr>
          <w:ilvl w:val="0"/>
          <w:numId w:val="1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продвижение продаж;</w:t>
      </w:r>
    </w:p>
    <w:p w:rsidR="00B66CF7" w:rsidRPr="00B66CF7" w:rsidRDefault="00B66CF7" w:rsidP="00B66CF7">
      <w:pPr>
        <w:numPr>
          <w:ilvl w:val="0"/>
          <w:numId w:val="1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правовые ограничения в рекламе;</w:t>
      </w:r>
    </w:p>
    <w:p w:rsidR="00B66CF7" w:rsidRPr="00B66CF7" w:rsidRDefault="00B66CF7" w:rsidP="00B66CF7">
      <w:pPr>
        <w:numPr>
          <w:ilvl w:val="0"/>
          <w:numId w:val="1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отстройку от конкурентов;</w:t>
      </w: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График размещения рекламы в </w:t>
      </w:r>
      <w:proofErr w:type="spellStart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медиаплане</w:t>
      </w:r>
      <w:proofErr w:type="spellEnd"/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это:</w:t>
      </w:r>
    </w:p>
    <w:p w:rsidR="00B66CF7" w:rsidRPr="00B66CF7" w:rsidRDefault="00B66CF7" w:rsidP="00B66CF7">
      <w:pPr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хронологический перечень передач станций вещания;</w:t>
      </w:r>
    </w:p>
    <w:p w:rsidR="00B66CF7" w:rsidRPr="00B66CF7" w:rsidRDefault="00B66CF7" w:rsidP="00B66CF7">
      <w:pPr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рекламных материалов для конкретных СМИ;</w:t>
      </w:r>
    </w:p>
    <w:p w:rsidR="00B66CF7" w:rsidRPr="00B66CF7" w:rsidRDefault="00B66CF7" w:rsidP="00B66CF7">
      <w:pPr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рекламных материалов, включенных в данное СМИ в течени</w:t>
      </w:r>
      <w:proofErr w:type="gram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proofErr w:type="gram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определенного периода времени;</w:t>
      </w:r>
    </w:p>
    <w:p w:rsidR="00B66CF7" w:rsidRPr="00B66CF7" w:rsidRDefault="00B66CF7" w:rsidP="00B66CF7">
      <w:pPr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графическое изображение выхода рекламных материалов по времени.</w:t>
      </w:r>
    </w:p>
    <w:p w:rsidR="00B66CF7" w:rsidRPr="00B66CF7" w:rsidRDefault="00B66CF7" w:rsidP="00B66CF7">
      <w:pPr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длительности рекламной компании.</w:t>
      </w:r>
    </w:p>
    <w:p w:rsidR="00B66CF7" w:rsidRPr="00B66CF7" w:rsidRDefault="00B66CF7" w:rsidP="00B66CF7">
      <w:pPr>
        <w:spacing w:after="0" w:line="240" w:lineRule="auto"/>
        <w:ind w:left="63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</w:t>
      </w: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Частота это-</w:t>
      </w:r>
    </w:p>
    <w:p w:rsidR="00B66CF7" w:rsidRPr="00B66CF7" w:rsidRDefault="00B66CF7" w:rsidP="00B66CF7">
      <w:pPr>
        <w:numPr>
          <w:ilvl w:val="0"/>
          <w:numId w:val="2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интервал между рекламными объявлениями;</w:t>
      </w:r>
    </w:p>
    <w:p w:rsidR="00B66CF7" w:rsidRPr="00B66CF7" w:rsidRDefault="00B66CF7" w:rsidP="00B66CF7">
      <w:pPr>
        <w:numPr>
          <w:ilvl w:val="0"/>
          <w:numId w:val="2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количество контактов аудитории с рекламой;</w:t>
      </w:r>
    </w:p>
    <w:p w:rsidR="00B66CF7" w:rsidRPr="00B66CF7" w:rsidRDefault="00B66CF7" w:rsidP="00B66CF7">
      <w:pPr>
        <w:numPr>
          <w:ilvl w:val="0"/>
          <w:numId w:val="2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выходы рекламы в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медиаплане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66CF7" w:rsidRPr="00B66CF7" w:rsidRDefault="00B66CF7" w:rsidP="00B66CF7">
      <w:pPr>
        <w:numPr>
          <w:ilvl w:val="0"/>
          <w:numId w:val="2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физическая величина, характеристика периодического процесса;</w:t>
      </w:r>
    </w:p>
    <w:p w:rsidR="00B66CF7" w:rsidRDefault="00B66CF7" w:rsidP="00B66CF7">
      <w:pPr>
        <w:numPr>
          <w:ilvl w:val="0"/>
          <w:numId w:val="23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количество СМИ в </w:t>
      </w:r>
      <w:proofErr w:type="spellStart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медиаплане</w:t>
      </w:r>
      <w:proofErr w:type="spellEnd"/>
      <w:r w:rsidRPr="00B66CF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66CF7" w:rsidRDefault="00B66CF7" w:rsidP="00B66CF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B66CF7" w:rsidRDefault="00B66CF7" w:rsidP="00B66CF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B66CF7">
        <w:rPr>
          <w:rFonts w:ascii="Times New Roman" w:eastAsia="Times New Roman" w:hAnsi="Times New Roman"/>
          <w:b/>
          <w:lang w:eastAsia="ru-RU"/>
        </w:rPr>
        <w:t>10. Какая реклама будет являться последовательной?</w:t>
      </w:r>
    </w:p>
    <w:p w:rsidR="00B66CF7" w:rsidRPr="00B66CF7" w:rsidRDefault="00B66CF7" w:rsidP="00B66CF7">
      <w:pPr>
        <w:numPr>
          <w:ilvl w:val="0"/>
          <w:numId w:val="24"/>
        </w:numPr>
        <w:spacing w:after="0" w:line="240" w:lineRule="auto"/>
        <w:ind w:left="993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B66CF7">
        <w:rPr>
          <w:rFonts w:ascii="Times New Roman" w:eastAsia="Times New Roman" w:hAnsi="Times New Roman"/>
          <w:lang w:eastAsia="ru-RU"/>
        </w:rPr>
        <w:t>Реклама</w:t>
      </w:r>
      <w:proofErr w:type="gramEnd"/>
      <w:r w:rsidRPr="00B66CF7">
        <w:rPr>
          <w:rFonts w:ascii="Times New Roman" w:eastAsia="Times New Roman" w:hAnsi="Times New Roman"/>
          <w:lang w:eastAsia="ru-RU"/>
        </w:rPr>
        <w:t xml:space="preserve"> усиливающая свою интенсивность во время повышения сезонного спроса;</w:t>
      </w:r>
    </w:p>
    <w:p w:rsidR="00B66CF7" w:rsidRPr="00B66CF7" w:rsidRDefault="00B66CF7" w:rsidP="00B66CF7">
      <w:pPr>
        <w:numPr>
          <w:ilvl w:val="0"/>
          <w:numId w:val="24"/>
        </w:numPr>
        <w:spacing w:after="0" w:line="240" w:lineRule="auto"/>
        <w:ind w:left="993"/>
        <w:jc w:val="both"/>
        <w:rPr>
          <w:rFonts w:ascii="Times New Roman" w:eastAsia="Times New Roman" w:hAnsi="Times New Roman"/>
          <w:lang w:eastAsia="ru-RU"/>
        </w:rPr>
      </w:pPr>
      <w:r w:rsidRPr="00B66CF7">
        <w:rPr>
          <w:rFonts w:ascii="Times New Roman" w:eastAsia="Times New Roman" w:hAnsi="Times New Roman"/>
          <w:lang w:eastAsia="ru-RU"/>
        </w:rPr>
        <w:t>Реклама, выход которой сконцентрирован в течение короткого промежутка времени;</w:t>
      </w:r>
    </w:p>
    <w:p w:rsidR="00B66CF7" w:rsidRPr="00B66CF7" w:rsidRDefault="00B66CF7" w:rsidP="00B66CF7">
      <w:pPr>
        <w:numPr>
          <w:ilvl w:val="0"/>
          <w:numId w:val="24"/>
        </w:numPr>
        <w:spacing w:after="0" w:line="240" w:lineRule="auto"/>
        <w:ind w:left="993"/>
        <w:jc w:val="both"/>
        <w:rPr>
          <w:rFonts w:ascii="Times New Roman" w:eastAsia="Times New Roman" w:hAnsi="Times New Roman"/>
          <w:b/>
          <w:lang w:eastAsia="ru-RU"/>
        </w:rPr>
      </w:pPr>
      <w:r w:rsidRPr="00B66CF7">
        <w:rPr>
          <w:rFonts w:ascii="Times New Roman" w:eastAsia="Times New Roman" w:hAnsi="Times New Roman"/>
          <w:b/>
          <w:lang w:eastAsia="ru-RU"/>
        </w:rPr>
        <w:t>Размещение рекламы постоянно через равные промежутки времени;</w:t>
      </w:r>
    </w:p>
    <w:p w:rsidR="00B66CF7" w:rsidRPr="00B66CF7" w:rsidRDefault="00B66CF7" w:rsidP="00B66CF7">
      <w:pPr>
        <w:numPr>
          <w:ilvl w:val="0"/>
          <w:numId w:val="24"/>
        </w:numPr>
        <w:spacing w:after="0" w:line="240" w:lineRule="auto"/>
        <w:ind w:left="993"/>
        <w:jc w:val="both"/>
        <w:rPr>
          <w:rFonts w:ascii="Times New Roman" w:eastAsia="Times New Roman" w:hAnsi="Times New Roman"/>
          <w:lang w:eastAsia="ru-RU"/>
        </w:rPr>
      </w:pPr>
      <w:r w:rsidRPr="00B66CF7">
        <w:rPr>
          <w:rFonts w:ascii="Times New Roman" w:eastAsia="Times New Roman" w:hAnsi="Times New Roman"/>
          <w:lang w:eastAsia="ru-RU"/>
        </w:rPr>
        <w:t>Размещение рекламы нерегулярно, через НЕ равные промежутки времени;</w:t>
      </w:r>
    </w:p>
    <w:p w:rsidR="00B66CF7" w:rsidRPr="00B66CF7" w:rsidRDefault="00B66CF7" w:rsidP="00B66CF7">
      <w:pPr>
        <w:numPr>
          <w:ilvl w:val="0"/>
          <w:numId w:val="24"/>
        </w:numPr>
        <w:spacing w:after="0" w:line="240" w:lineRule="auto"/>
        <w:ind w:left="993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B66CF7">
        <w:rPr>
          <w:rFonts w:ascii="Times New Roman" w:eastAsia="Times New Roman" w:hAnsi="Times New Roman"/>
          <w:lang w:eastAsia="ru-RU"/>
        </w:rPr>
        <w:t>Использующая</w:t>
      </w:r>
      <w:proofErr w:type="gramEnd"/>
      <w:r w:rsidRPr="00B66CF7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Pr="00B66CF7">
        <w:rPr>
          <w:rFonts w:ascii="Times New Roman" w:eastAsia="Times New Roman" w:hAnsi="Times New Roman"/>
          <w:lang w:eastAsia="ru-RU"/>
        </w:rPr>
        <w:t>личностность</w:t>
      </w:r>
      <w:proofErr w:type="spellEnd"/>
      <w:r w:rsidRPr="00B66CF7">
        <w:rPr>
          <w:rFonts w:ascii="Times New Roman" w:eastAsia="Times New Roman" w:hAnsi="Times New Roman"/>
          <w:lang w:eastAsia="ru-RU"/>
        </w:rPr>
        <w:t xml:space="preserve"> рекламного сообщения.</w:t>
      </w:r>
    </w:p>
    <w:p w:rsidR="00B66CF7" w:rsidRPr="00B66CF7" w:rsidRDefault="00B66CF7" w:rsidP="00B66CF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6CF7" w:rsidRPr="008D53A2" w:rsidRDefault="008D53A2" w:rsidP="00B66C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D53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Тематика рефератов:</w:t>
      </w:r>
    </w:p>
    <w:p w:rsidR="008D53A2" w:rsidRPr="00612F7B" w:rsidRDefault="008D53A2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 xml:space="preserve">1. Основные тенденции выделяются на современном этапе исследования СМК с точки зрения </w:t>
      </w:r>
      <w:proofErr w:type="spellStart"/>
      <w:r w:rsidRPr="00612F7B">
        <w:rPr>
          <w:rFonts w:ascii="Times New Roman" w:eastAsia="Times New Roman" w:hAnsi="Times New Roman"/>
          <w:lang w:eastAsia="ru-RU"/>
        </w:rPr>
        <w:t>медиапланирования</w:t>
      </w:r>
      <w:proofErr w:type="spellEnd"/>
      <w:r w:rsidRPr="00612F7B">
        <w:rPr>
          <w:rFonts w:ascii="Times New Roman" w:eastAsia="Times New Roman" w:hAnsi="Times New Roman"/>
          <w:lang w:eastAsia="ru-RU"/>
        </w:rPr>
        <w:t>.</w:t>
      </w:r>
    </w:p>
    <w:p w:rsidR="008D53A2" w:rsidRPr="00612F7B" w:rsidRDefault="008D53A2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>2. Трудность измерения охвата в прессе.</w:t>
      </w:r>
    </w:p>
    <w:p w:rsidR="008D53A2" w:rsidRPr="00612F7B" w:rsidRDefault="008D53A2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 xml:space="preserve">3. </w:t>
      </w:r>
      <w:proofErr w:type="spellStart"/>
      <w:r w:rsidR="00612F7B" w:rsidRPr="00612F7B">
        <w:rPr>
          <w:rFonts w:ascii="Times New Roman" w:eastAsia="Times New Roman" w:hAnsi="Times New Roman"/>
          <w:lang w:eastAsia="ru-RU"/>
        </w:rPr>
        <w:t>Медиапланирование</w:t>
      </w:r>
      <w:proofErr w:type="spellEnd"/>
      <w:r w:rsidR="00612F7B" w:rsidRPr="00612F7B">
        <w:rPr>
          <w:rFonts w:ascii="Times New Roman" w:eastAsia="Times New Roman" w:hAnsi="Times New Roman"/>
          <w:lang w:eastAsia="ru-RU"/>
        </w:rPr>
        <w:t xml:space="preserve"> и </w:t>
      </w:r>
      <w:proofErr w:type="spellStart"/>
      <w:r w:rsidR="00612F7B" w:rsidRPr="00612F7B">
        <w:rPr>
          <w:rFonts w:ascii="Times New Roman" w:eastAsia="Times New Roman" w:hAnsi="Times New Roman"/>
          <w:lang w:eastAsia="ru-RU"/>
        </w:rPr>
        <w:t>медиапсихология</w:t>
      </w:r>
      <w:proofErr w:type="spellEnd"/>
      <w:r w:rsidR="00612F7B" w:rsidRPr="00612F7B">
        <w:rPr>
          <w:rFonts w:ascii="Times New Roman" w:eastAsia="Times New Roman" w:hAnsi="Times New Roman"/>
          <w:lang w:eastAsia="ru-RU"/>
        </w:rPr>
        <w:t>.</w:t>
      </w:r>
    </w:p>
    <w:p w:rsidR="00612F7B" w:rsidRPr="00612F7B" w:rsidRDefault="00612F7B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>4.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612F7B">
        <w:rPr>
          <w:rFonts w:ascii="Times New Roman" w:eastAsia="Times New Roman" w:hAnsi="Times New Roman"/>
          <w:lang w:eastAsia="ru-RU"/>
        </w:rPr>
        <w:t xml:space="preserve">Сравнительный анализ моделей </w:t>
      </w:r>
      <w:proofErr w:type="spellStart"/>
      <w:r w:rsidRPr="00612F7B">
        <w:rPr>
          <w:rFonts w:ascii="Times New Roman" w:eastAsia="Times New Roman" w:hAnsi="Times New Roman"/>
          <w:lang w:eastAsia="ru-RU"/>
        </w:rPr>
        <w:t>Reach</w:t>
      </w:r>
      <w:proofErr w:type="spellEnd"/>
      <w:r w:rsidRPr="00612F7B">
        <w:rPr>
          <w:rFonts w:ascii="Times New Roman" w:eastAsia="Times New Roman" w:hAnsi="Times New Roman"/>
          <w:lang w:eastAsia="ru-RU"/>
        </w:rPr>
        <w:t>/</w:t>
      </w:r>
      <w:proofErr w:type="spellStart"/>
      <w:r w:rsidRPr="00612F7B">
        <w:rPr>
          <w:rFonts w:ascii="Times New Roman" w:eastAsia="Times New Roman" w:hAnsi="Times New Roman"/>
          <w:lang w:eastAsia="ru-RU"/>
        </w:rPr>
        <w:t>Frequency</w:t>
      </w:r>
      <w:proofErr w:type="spellEnd"/>
      <w:r w:rsidRPr="00612F7B">
        <w:rPr>
          <w:rFonts w:ascii="Times New Roman" w:eastAsia="Times New Roman" w:hAnsi="Times New Roman"/>
          <w:lang w:eastAsia="ru-RU"/>
        </w:rPr>
        <w:t xml:space="preserve"> и </w:t>
      </w:r>
      <w:proofErr w:type="spellStart"/>
      <w:r w:rsidRPr="00612F7B">
        <w:rPr>
          <w:rFonts w:ascii="Times New Roman" w:eastAsia="Times New Roman" w:hAnsi="Times New Roman"/>
          <w:lang w:eastAsia="ru-RU"/>
        </w:rPr>
        <w:t>Recency</w:t>
      </w:r>
      <w:proofErr w:type="spellEnd"/>
      <w:r w:rsidRPr="00612F7B">
        <w:rPr>
          <w:rFonts w:ascii="Times New Roman" w:eastAsia="Times New Roman" w:hAnsi="Times New Roman"/>
          <w:lang w:eastAsia="ru-RU"/>
        </w:rPr>
        <w:t xml:space="preserve"> в </w:t>
      </w:r>
      <w:proofErr w:type="spellStart"/>
      <w:r w:rsidRPr="00612F7B">
        <w:rPr>
          <w:rFonts w:ascii="Times New Roman" w:eastAsia="Times New Roman" w:hAnsi="Times New Roman"/>
          <w:lang w:eastAsia="ru-RU"/>
        </w:rPr>
        <w:t>медиапланировании</w:t>
      </w:r>
      <w:proofErr w:type="spellEnd"/>
      <w:r>
        <w:rPr>
          <w:rFonts w:ascii="Times New Roman" w:eastAsia="Times New Roman" w:hAnsi="Times New Roman"/>
          <w:lang w:eastAsia="ru-RU"/>
        </w:rPr>
        <w:t>.</w:t>
      </w:r>
    </w:p>
    <w:p w:rsidR="00612F7B" w:rsidRPr="00612F7B" w:rsidRDefault="00612F7B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>5.</w:t>
      </w:r>
      <w:r>
        <w:rPr>
          <w:rFonts w:ascii="Times New Roman" w:eastAsia="Times New Roman" w:hAnsi="Times New Roman"/>
          <w:lang w:eastAsia="ru-RU"/>
        </w:rPr>
        <w:t xml:space="preserve"> Координация рекламных сообщений и </w:t>
      </w:r>
      <w:proofErr w:type="spellStart"/>
      <w:r>
        <w:rPr>
          <w:rFonts w:ascii="Times New Roman" w:eastAsia="Times New Roman" w:hAnsi="Times New Roman"/>
          <w:lang w:eastAsia="ru-RU"/>
        </w:rPr>
        <w:t>медиасредств</w:t>
      </w:r>
      <w:proofErr w:type="spellEnd"/>
      <w:r>
        <w:rPr>
          <w:rFonts w:ascii="Times New Roman" w:eastAsia="Times New Roman" w:hAnsi="Times New Roman"/>
          <w:lang w:eastAsia="ru-RU"/>
        </w:rPr>
        <w:t>.</w:t>
      </w:r>
    </w:p>
    <w:p w:rsidR="00612F7B" w:rsidRPr="00612F7B" w:rsidRDefault="00612F7B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>6.</w:t>
      </w:r>
      <w:r>
        <w:rPr>
          <w:rFonts w:ascii="Times New Roman" w:eastAsia="Times New Roman" w:hAnsi="Times New Roman"/>
          <w:lang w:eastAsia="ru-RU"/>
        </w:rPr>
        <w:t xml:space="preserve"> Методики </w:t>
      </w:r>
      <w:proofErr w:type="spellStart"/>
      <w:r>
        <w:rPr>
          <w:rFonts w:ascii="Times New Roman" w:eastAsia="Times New Roman" w:hAnsi="Times New Roman"/>
          <w:lang w:eastAsia="ru-RU"/>
        </w:rPr>
        <w:t>медиапланирования</w:t>
      </w:r>
      <w:proofErr w:type="spellEnd"/>
      <w:r>
        <w:rPr>
          <w:rFonts w:ascii="Times New Roman" w:eastAsia="Times New Roman" w:hAnsi="Times New Roman"/>
          <w:lang w:eastAsia="ru-RU"/>
        </w:rPr>
        <w:t>. Рейтинги рекламных блоков и полос.</w:t>
      </w:r>
    </w:p>
    <w:p w:rsidR="00612F7B" w:rsidRPr="00612F7B" w:rsidRDefault="00612F7B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>7.</w:t>
      </w:r>
      <w:r>
        <w:rPr>
          <w:rFonts w:ascii="Times New Roman" w:eastAsia="Times New Roman" w:hAnsi="Times New Roman"/>
          <w:lang w:eastAsia="ru-RU"/>
        </w:rPr>
        <w:t xml:space="preserve"> Отношение аудиторий к </w:t>
      </w:r>
      <w:proofErr w:type="gramStart"/>
      <w:r>
        <w:rPr>
          <w:rFonts w:ascii="Times New Roman" w:eastAsia="Times New Roman" w:hAnsi="Times New Roman"/>
          <w:lang w:eastAsia="ru-RU"/>
        </w:rPr>
        <w:t>рекламным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eastAsia="ru-RU"/>
        </w:rPr>
        <w:t>медианосителям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(на основе собственных наблюдений и исследований).</w:t>
      </w:r>
    </w:p>
    <w:p w:rsidR="00612F7B" w:rsidRPr="00612F7B" w:rsidRDefault="00612F7B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lastRenderedPageBreak/>
        <w:t>8.</w:t>
      </w:r>
      <w:r>
        <w:rPr>
          <w:rFonts w:ascii="Times New Roman" w:eastAsia="Times New Roman" w:hAnsi="Times New Roman"/>
          <w:lang w:eastAsia="ru-RU"/>
        </w:rPr>
        <w:t xml:space="preserve"> Особенности </w:t>
      </w:r>
      <w:proofErr w:type="spellStart"/>
      <w:r>
        <w:rPr>
          <w:rFonts w:ascii="Times New Roman" w:eastAsia="Times New Roman" w:hAnsi="Times New Roman"/>
          <w:lang w:eastAsia="ru-RU"/>
        </w:rPr>
        <w:t>медиапланирования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с использованием интернета.</w:t>
      </w:r>
    </w:p>
    <w:p w:rsidR="00612F7B" w:rsidRPr="00612F7B" w:rsidRDefault="00612F7B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>9.</w:t>
      </w:r>
      <w:r>
        <w:rPr>
          <w:rFonts w:ascii="Times New Roman" w:eastAsia="Times New Roman" w:hAnsi="Times New Roman"/>
          <w:lang w:eastAsia="ru-RU"/>
        </w:rPr>
        <w:t xml:space="preserve"> Проблемы оценки интернета как </w:t>
      </w:r>
      <w:proofErr w:type="spellStart"/>
      <w:r>
        <w:rPr>
          <w:rFonts w:ascii="Times New Roman" w:eastAsia="Times New Roman" w:hAnsi="Times New Roman"/>
          <w:lang w:eastAsia="ru-RU"/>
        </w:rPr>
        <w:t>медиаресурса</w:t>
      </w:r>
      <w:proofErr w:type="spellEnd"/>
      <w:r>
        <w:rPr>
          <w:rFonts w:ascii="Times New Roman" w:eastAsia="Times New Roman" w:hAnsi="Times New Roman"/>
          <w:lang w:eastAsia="ru-RU"/>
        </w:rPr>
        <w:t>.</w:t>
      </w:r>
    </w:p>
    <w:p w:rsidR="00612F7B" w:rsidRPr="00612F7B" w:rsidRDefault="00612F7B" w:rsidP="00B66CF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12F7B">
        <w:rPr>
          <w:rFonts w:ascii="Times New Roman" w:eastAsia="Times New Roman" w:hAnsi="Times New Roman"/>
          <w:lang w:eastAsia="ru-RU"/>
        </w:rPr>
        <w:t>10.</w:t>
      </w:r>
      <w:r>
        <w:rPr>
          <w:rFonts w:ascii="Times New Roman" w:eastAsia="Times New Roman" w:hAnsi="Times New Roman"/>
          <w:lang w:eastAsia="ru-RU"/>
        </w:rPr>
        <w:t xml:space="preserve"> Особенности планирования рекламной капании в условиях г. Волгограда (на основе собственных наблюдений и исследований).</w:t>
      </w:r>
    </w:p>
    <w:p w:rsidR="0094502A" w:rsidRDefault="0094502A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B7FE3" w:rsidRDefault="002B7FE3" w:rsidP="002B7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Справочно-информационные материалы (Глоссарий)</w:t>
      </w:r>
    </w:p>
    <w:p w:rsidR="005F5F8D" w:rsidRPr="00316B02" w:rsidRDefault="005F5F8D" w:rsidP="005F5F8D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Основные понятия </w:t>
      </w:r>
      <w:proofErr w:type="spellStart"/>
      <w:r w:rsidRPr="006B681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медиапланирования</w:t>
      </w:r>
      <w:proofErr w:type="spellEnd"/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Rating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-- размер аудитории, видевшей или слышавшей конкретно взятую программу, читавшей журнал, газету и тому подобное в заданный промежуток времени по отношению к общему количеству населения. К примеру, если программу смотрели 25 процентов аудитории, то ее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rating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составит 25 пунктов, если читали газету 15 процентов, то ее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rating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15 пунктов.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Средний рейтинг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-- 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это сумма рейтингов, деленная на число публикаций или трансляций рекламных обращений. CPT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cost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per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thousand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) -- стоимость охвата реальной (определенной исследованиями) тысячи представителей читательской, зрительской или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слушательской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аудитории либо населения в регионе распространения данного СМИ. Стоимость одного рекламного сообщения в конкретном медиаканале зависит от формата, цвета, места, программы, имени и других факторов. Это, на самом деле, не стоимость разноцветной картинки на обложке журнала, а цена контакта с клиентом. Единицей ее измерения как раз и является показатель СРТ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cost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per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thousand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, "цена за тысячу"), то 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есть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сколько денег надо заплатить рекламному агентству (TV-каналу, газете, радио), чтобы, например, тысяча человек была покорена стойкостью "TV-парка" к воздействию дистиллированной воды. Именно СРТ является той "условной валютой", в которой во всем мире принято сравнивать газету, </w:t>
      </w:r>
      <w:hyperlink r:id="rId7" w:history="1">
        <w:r w:rsidRPr="006B6816">
          <w:rPr>
            <w:rFonts w:ascii="Times New Roman" w:eastAsia="Times New Roman" w:hAnsi="Times New Roman" w:cs="Times New Roman"/>
            <w:lang w:eastAsia="ru-RU"/>
          </w:rPr>
          <w:t>журнал</w:t>
        </w:r>
      </w:hyperlink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 или телепрограмму при покупке ее в качестве носителя рекламы.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GRP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gross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rating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points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) -- суммарный рейтинг, он же любимый инструмент 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отечественного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медиапланирования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. Он представляет собой процент населения, подвергнутый рекламному воздействию или, другими словами, общую массу этого воздействия. Например, за неделю: четыре ролика по двадцать рейтингов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-- 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восемьдесят GRP; пять роликов по десять рейтингов -- пятьдесят GRP. Общий недельный GRP: 80 + 50 = 130. На профессиональном жаргоне заказ клиента может звучать так: "Хочу купить три тысячи GRP на телевидении".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TRP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target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rating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point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) -- это суммарный рейтинг, но не для всей аудитории, как GRP, а лишь для целевой группы.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Share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of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Audience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Rating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показывает долю тех, кто смотрит конкретную программу, среди тех, кто в этот же промежуток времени смотрит телевизор. Исчисляется как отношение рейтинга программы к суммарному рейтингу всех программ. Польза от этого показателя несомненна: можно сравнивать две программы, выходящие в принципиально различное время дня, недели или года. Поэтому в измерениях аудитории, как правило, учитывается и средний рейтинг, и доля. О популярности программы (канала) следует судить по обоим показателям. Стабилизация или падение рейтинга при растущей доле аудитории может отражать общую позитивную динамику популярности программы.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OTS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opportunity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to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see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) -- "возможность увидеть", то есть количество раз (в тысячах), которое данное рекламное сообщение потенциально могло быть увиденным (воспринятым). Это базовое понятие, лежащее в основе концепции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медиапланирования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и измерения аудитории (зная OTS, можно предположить количество людей, которые видели вашу рекламу). Его модальность предопределяет и метод измерения. Например, для телевидения она требует измерять число людей, смотревших программу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-- 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носитель рекламы, а не оценку их интереса к ней или к самому рекламному ролику. Когда используется несколько (больше одного) рекламного обращения или более одного СМИ, OTS эквивалентно сумме рейтингов в тысячах для всех сообщений (сумме </w:t>
      </w: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GRP). Этот показатель служит также для сравнения количества контактов, которые достигаются в различных кампаниях.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Не менее важные показатели "нетто-покрытие" и "нетто-достижение"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netto-coveraqe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netto-reach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), то есть та часть населения или целевой группы, с которой вы вступили в контакт посредством одного рекламного сообщения. Следующий шаг -- "аккумулированное нетто-покрытие"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accumulated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netto-coveraqe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), или та часть населения (целевой группы), с которой вы вступили в контакт посредством нескольких рекламных сообщений в одном меди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а-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одном рекламном сообщении в течение месяца.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В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медиапланировании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учитываются два способа аккумулирования аудитории:</w:t>
      </w:r>
    </w:p>
    <w:p w:rsidR="006B6816" w:rsidRPr="006B6816" w:rsidRDefault="006B6816" w:rsidP="006B6816">
      <w:pPr>
        <w:numPr>
          <w:ilvl w:val="0"/>
          <w:numId w:val="25"/>
        </w:numPr>
        <w:spacing w:before="100" w:beforeAutospacing="1" w:after="100" w:afterAutospacing="1" w:line="225" w:lineRule="atLeast"/>
        <w:ind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аккумулирование аудитории конкретного носителя (например, программы) при повторных эфирах;</w:t>
      </w:r>
    </w:p>
    <w:p w:rsidR="006B6816" w:rsidRPr="006B6816" w:rsidRDefault="006B6816" w:rsidP="006B6816">
      <w:pPr>
        <w:numPr>
          <w:ilvl w:val="0"/>
          <w:numId w:val="25"/>
        </w:numPr>
        <w:spacing w:before="100" w:beforeAutospacing="1" w:after="100" w:afterAutospacing="1" w:line="225" w:lineRule="atLeast"/>
        <w:ind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комбинирование аудитории нескольких программ, используемых как пакет в рекламной кампании.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Coveraqe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("покрытие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") -- 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базовый сущностный показатель рекламного воздействия: он демонстрирует степень достижения целевой группы. Чем выше покрытие, тем больше мощность трансляции рекламного сообщения.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Coveraqe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имеет разный смысл для 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различных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медиа. Например, если миллион семей в России имеют попугайчиков, то, рекламируя в журнале с тиражом миллион экземпляров специальный корм для них, мы достигаем покрытия в десять процентов, то есть мы на это надеемся, полагая, что все запланированные адресаты прочтут наше объявление. В реальности это, конечно, меньший процент.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Есть определенное различие между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Reach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Coveraqe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Coveraqe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обычно относится к потенциальной аудитории медиа (TV, радио), а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Reach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всегда используется по отношению к аудитории, которая была реально достигнута.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Profiles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Aflinity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) -- "профильность, или соответствие" (целевой группе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) -- 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это показатель того, как соотносится нетто-покрытие в процентах целевой группы и нетто-покрытие населения в целом. Вычисляется путем деления первого на второе и умножения на сто. Чем оно выше, тем лучше, но всегда должно быть больше или равно ста.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Frequency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Averaqe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OTS) -- "частота, или средняя возможность увидеть", то есть количество раз, которое человек, имевший возможность увидеть рекламу, реально увидел ее.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Возможный минимум равен единице. Вычисляется следующим образом: OTS в тысячах делится на нетто-достижение в тысячах, то есть равен отношению Потенциала к Реальности. Используется для сравнения количества контактов, когда рекламодатель полагает, что потребитель отреагирует на рекламу только в том случае, если увидит ее не меньше Х раз, и нужно просчитать число реальных контактов с ней одного человека.</w:t>
      </w:r>
    </w:p>
    <w:p w:rsidR="006B6816" w:rsidRPr="006B6816" w:rsidRDefault="006B6816" w:rsidP="006B6816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Frequency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-- родственный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Reach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показатель. Если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Reach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-- мера "разброса" сообщения, то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Frequency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-- мера повторения.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Frequency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равен</w:t>
      </w:r>
      <w:proofErr w:type="gram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 xml:space="preserve"> отношению GPR к </w:t>
      </w:r>
      <w:proofErr w:type="spellStart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Reach</w:t>
      </w:r>
      <w:proofErr w:type="spellEnd"/>
      <w:r w:rsidRPr="006B681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472D96" w:rsidRDefault="00472D96" w:rsidP="00472D96">
      <w:pPr>
        <w:spacing w:after="0" w:line="240" w:lineRule="auto"/>
      </w:pPr>
    </w:p>
    <w:sectPr w:rsidR="00472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31BA"/>
    <w:multiLevelType w:val="hybridMultilevel"/>
    <w:tmpl w:val="DFFC5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5718"/>
    <w:multiLevelType w:val="hybridMultilevel"/>
    <w:tmpl w:val="F46C6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60AAE"/>
    <w:multiLevelType w:val="hybridMultilevel"/>
    <w:tmpl w:val="EA623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73762"/>
    <w:multiLevelType w:val="hybridMultilevel"/>
    <w:tmpl w:val="C8A2A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20398"/>
    <w:multiLevelType w:val="hybridMultilevel"/>
    <w:tmpl w:val="0846D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8441D"/>
    <w:multiLevelType w:val="hybridMultilevel"/>
    <w:tmpl w:val="C1E88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F6523"/>
    <w:multiLevelType w:val="hybridMultilevel"/>
    <w:tmpl w:val="982C6EE6"/>
    <w:lvl w:ilvl="0" w:tplc="0419000F">
      <w:start w:val="1"/>
      <w:numFmt w:val="decimal"/>
      <w:lvlText w:val="%1."/>
      <w:lvlJc w:val="left"/>
      <w:pPr>
        <w:ind w:left="748" w:hanging="360"/>
      </w:pPr>
    </w:lvl>
    <w:lvl w:ilvl="1" w:tplc="04190019">
      <w:start w:val="1"/>
      <w:numFmt w:val="lowerLetter"/>
      <w:lvlText w:val="%2."/>
      <w:lvlJc w:val="left"/>
      <w:pPr>
        <w:ind w:left="1468" w:hanging="360"/>
      </w:pPr>
    </w:lvl>
    <w:lvl w:ilvl="2" w:tplc="0419001B">
      <w:start w:val="1"/>
      <w:numFmt w:val="lowerRoman"/>
      <w:lvlText w:val="%3."/>
      <w:lvlJc w:val="right"/>
      <w:pPr>
        <w:ind w:left="2188" w:hanging="180"/>
      </w:pPr>
    </w:lvl>
    <w:lvl w:ilvl="3" w:tplc="0419000F">
      <w:start w:val="1"/>
      <w:numFmt w:val="decimal"/>
      <w:lvlText w:val="%4."/>
      <w:lvlJc w:val="left"/>
      <w:pPr>
        <w:ind w:left="2908" w:hanging="360"/>
      </w:pPr>
    </w:lvl>
    <w:lvl w:ilvl="4" w:tplc="04190019">
      <w:start w:val="1"/>
      <w:numFmt w:val="lowerLetter"/>
      <w:lvlText w:val="%5."/>
      <w:lvlJc w:val="left"/>
      <w:pPr>
        <w:ind w:left="3628" w:hanging="360"/>
      </w:pPr>
    </w:lvl>
    <w:lvl w:ilvl="5" w:tplc="0419001B">
      <w:start w:val="1"/>
      <w:numFmt w:val="lowerRoman"/>
      <w:lvlText w:val="%6."/>
      <w:lvlJc w:val="right"/>
      <w:pPr>
        <w:ind w:left="4348" w:hanging="180"/>
      </w:pPr>
    </w:lvl>
    <w:lvl w:ilvl="6" w:tplc="0419000F">
      <w:start w:val="1"/>
      <w:numFmt w:val="decimal"/>
      <w:lvlText w:val="%7."/>
      <w:lvlJc w:val="left"/>
      <w:pPr>
        <w:ind w:left="5068" w:hanging="360"/>
      </w:pPr>
    </w:lvl>
    <w:lvl w:ilvl="7" w:tplc="04190019">
      <w:start w:val="1"/>
      <w:numFmt w:val="lowerLetter"/>
      <w:lvlText w:val="%8."/>
      <w:lvlJc w:val="left"/>
      <w:pPr>
        <w:ind w:left="5788" w:hanging="360"/>
      </w:pPr>
    </w:lvl>
    <w:lvl w:ilvl="8" w:tplc="0419001B">
      <w:start w:val="1"/>
      <w:numFmt w:val="lowerRoman"/>
      <w:lvlText w:val="%9."/>
      <w:lvlJc w:val="right"/>
      <w:pPr>
        <w:ind w:left="6508" w:hanging="180"/>
      </w:pPr>
    </w:lvl>
  </w:abstractNum>
  <w:abstractNum w:abstractNumId="7">
    <w:nsid w:val="19422A73"/>
    <w:multiLevelType w:val="hybridMultilevel"/>
    <w:tmpl w:val="5206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F6095"/>
    <w:multiLevelType w:val="hybridMultilevel"/>
    <w:tmpl w:val="032C2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77CA7"/>
    <w:multiLevelType w:val="hybridMultilevel"/>
    <w:tmpl w:val="B02AC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50E32"/>
    <w:multiLevelType w:val="hybridMultilevel"/>
    <w:tmpl w:val="95E87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086A7F"/>
    <w:multiLevelType w:val="multilevel"/>
    <w:tmpl w:val="CA34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A150C4"/>
    <w:multiLevelType w:val="hybridMultilevel"/>
    <w:tmpl w:val="5FFA58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070051F"/>
    <w:multiLevelType w:val="hybridMultilevel"/>
    <w:tmpl w:val="63E60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A23562"/>
    <w:multiLevelType w:val="hybridMultilevel"/>
    <w:tmpl w:val="795C2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46102F"/>
    <w:multiLevelType w:val="hybridMultilevel"/>
    <w:tmpl w:val="388CB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378DA"/>
    <w:multiLevelType w:val="hybridMultilevel"/>
    <w:tmpl w:val="3B709620"/>
    <w:lvl w:ilvl="0" w:tplc="0419000F">
      <w:start w:val="1"/>
      <w:numFmt w:val="decimal"/>
      <w:lvlText w:val="%1."/>
      <w:lvlJc w:val="left"/>
      <w:pPr>
        <w:ind w:left="748" w:hanging="360"/>
      </w:pPr>
    </w:lvl>
    <w:lvl w:ilvl="1" w:tplc="04190019">
      <w:start w:val="1"/>
      <w:numFmt w:val="lowerLetter"/>
      <w:lvlText w:val="%2."/>
      <w:lvlJc w:val="left"/>
      <w:pPr>
        <w:ind w:left="1468" w:hanging="360"/>
      </w:pPr>
    </w:lvl>
    <w:lvl w:ilvl="2" w:tplc="0419001B">
      <w:start w:val="1"/>
      <w:numFmt w:val="lowerRoman"/>
      <w:lvlText w:val="%3."/>
      <w:lvlJc w:val="right"/>
      <w:pPr>
        <w:ind w:left="2188" w:hanging="180"/>
      </w:pPr>
    </w:lvl>
    <w:lvl w:ilvl="3" w:tplc="0419000F">
      <w:start w:val="1"/>
      <w:numFmt w:val="decimal"/>
      <w:lvlText w:val="%4."/>
      <w:lvlJc w:val="left"/>
      <w:pPr>
        <w:ind w:left="2908" w:hanging="360"/>
      </w:pPr>
    </w:lvl>
    <w:lvl w:ilvl="4" w:tplc="04190019">
      <w:start w:val="1"/>
      <w:numFmt w:val="lowerLetter"/>
      <w:lvlText w:val="%5."/>
      <w:lvlJc w:val="left"/>
      <w:pPr>
        <w:ind w:left="3628" w:hanging="360"/>
      </w:pPr>
    </w:lvl>
    <w:lvl w:ilvl="5" w:tplc="0419001B">
      <w:start w:val="1"/>
      <w:numFmt w:val="lowerRoman"/>
      <w:lvlText w:val="%6."/>
      <w:lvlJc w:val="right"/>
      <w:pPr>
        <w:ind w:left="4348" w:hanging="180"/>
      </w:pPr>
    </w:lvl>
    <w:lvl w:ilvl="6" w:tplc="0419000F">
      <w:start w:val="1"/>
      <w:numFmt w:val="decimal"/>
      <w:lvlText w:val="%7."/>
      <w:lvlJc w:val="left"/>
      <w:pPr>
        <w:ind w:left="5068" w:hanging="360"/>
      </w:pPr>
    </w:lvl>
    <w:lvl w:ilvl="7" w:tplc="04190019">
      <w:start w:val="1"/>
      <w:numFmt w:val="lowerLetter"/>
      <w:lvlText w:val="%8."/>
      <w:lvlJc w:val="left"/>
      <w:pPr>
        <w:ind w:left="5788" w:hanging="360"/>
      </w:pPr>
    </w:lvl>
    <w:lvl w:ilvl="8" w:tplc="0419001B">
      <w:start w:val="1"/>
      <w:numFmt w:val="lowerRoman"/>
      <w:lvlText w:val="%9."/>
      <w:lvlJc w:val="right"/>
      <w:pPr>
        <w:ind w:left="6508" w:hanging="180"/>
      </w:pPr>
    </w:lvl>
  </w:abstractNum>
  <w:abstractNum w:abstractNumId="17">
    <w:nsid w:val="41A64DC4"/>
    <w:multiLevelType w:val="hybridMultilevel"/>
    <w:tmpl w:val="1DAE1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4F007F"/>
    <w:multiLevelType w:val="hybridMultilevel"/>
    <w:tmpl w:val="8728B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2457FA"/>
    <w:multiLevelType w:val="hybridMultilevel"/>
    <w:tmpl w:val="C4BA8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F00BD2"/>
    <w:multiLevelType w:val="hybridMultilevel"/>
    <w:tmpl w:val="391AF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B4689B"/>
    <w:multiLevelType w:val="hybridMultilevel"/>
    <w:tmpl w:val="7CA08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695752"/>
    <w:multiLevelType w:val="hybridMultilevel"/>
    <w:tmpl w:val="5F2ECAF6"/>
    <w:lvl w:ilvl="0" w:tplc="0419000F">
      <w:start w:val="1"/>
      <w:numFmt w:val="decimal"/>
      <w:lvlText w:val="%1."/>
      <w:lvlJc w:val="left"/>
      <w:pPr>
        <w:ind w:left="2619" w:hanging="360"/>
      </w:pPr>
    </w:lvl>
    <w:lvl w:ilvl="1" w:tplc="04190019">
      <w:start w:val="1"/>
      <w:numFmt w:val="lowerLetter"/>
      <w:lvlText w:val="%2."/>
      <w:lvlJc w:val="left"/>
      <w:pPr>
        <w:ind w:left="3339" w:hanging="360"/>
      </w:pPr>
    </w:lvl>
    <w:lvl w:ilvl="2" w:tplc="0419001B">
      <w:start w:val="1"/>
      <w:numFmt w:val="lowerRoman"/>
      <w:lvlText w:val="%3."/>
      <w:lvlJc w:val="right"/>
      <w:pPr>
        <w:ind w:left="4059" w:hanging="180"/>
      </w:pPr>
    </w:lvl>
    <w:lvl w:ilvl="3" w:tplc="0419000F">
      <w:start w:val="1"/>
      <w:numFmt w:val="decimal"/>
      <w:lvlText w:val="%4."/>
      <w:lvlJc w:val="left"/>
      <w:pPr>
        <w:ind w:left="4779" w:hanging="360"/>
      </w:pPr>
    </w:lvl>
    <w:lvl w:ilvl="4" w:tplc="04190019">
      <w:start w:val="1"/>
      <w:numFmt w:val="lowerLetter"/>
      <w:lvlText w:val="%5."/>
      <w:lvlJc w:val="left"/>
      <w:pPr>
        <w:ind w:left="5499" w:hanging="360"/>
      </w:pPr>
    </w:lvl>
    <w:lvl w:ilvl="5" w:tplc="0419001B">
      <w:start w:val="1"/>
      <w:numFmt w:val="lowerRoman"/>
      <w:lvlText w:val="%6."/>
      <w:lvlJc w:val="right"/>
      <w:pPr>
        <w:ind w:left="6219" w:hanging="180"/>
      </w:pPr>
    </w:lvl>
    <w:lvl w:ilvl="6" w:tplc="0419000F">
      <w:start w:val="1"/>
      <w:numFmt w:val="decimal"/>
      <w:lvlText w:val="%7."/>
      <w:lvlJc w:val="left"/>
      <w:pPr>
        <w:ind w:left="6939" w:hanging="360"/>
      </w:pPr>
    </w:lvl>
    <w:lvl w:ilvl="7" w:tplc="04190019">
      <w:start w:val="1"/>
      <w:numFmt w:val="lowerLetter"/>
      <w:lvlText w:val="%8."/>
      <w:lvlJc w:val="left"/>
      <w:pPr>
        <w:ind w:left="7659" w:hanging="360"/>
      </w:pPr>
    </w:lvl>
    <w:lvl w:ilvl="8" w:tplc="0419001B">
      <w:start w:val="1"/>
      <w:numFmt w:val="lowerRoman"/>
      <w:lvlText w:val="%9."/>
      <w:lvlJc w:val="right"/>
      <w:pPr>
        <w:ind w:left="8379" w:hanging="180"/>
      </w:pPr>
    </w:lvl>
  </w:abstractNum>
  <w:abstractNum w:abstractNumId="23">
    <w:nsid w:val="66FE6FB7"/>
    <w:multiLevelType w:val="hybridMultilevel"/>
    <w:tmpl w:val="080C0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B019EB"/>
    <w:multiLevelType w:val="hybridMultilevel"/>
    <w:tmpl w:val="29B21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D3"/>
    <w:rsid w:val="00025CC4"/>
    <w:rsid w:val="000E53A1"/>
    <w:rsid w:val="001E6A05"/>
    <w:rsid w:val="002B7FE3"/>
    <w:rsid w:val="002C7DD4"/>
    <w:rsid w:val="00370722"/>
    <w:rsid w:val="004550AD"/>
    <w:rsid w:val="00472D96"/>
    <w:rsid w:val="005C579E"/>
    <w:rsid w:val="005F5F8D"/>
    <w:rsid w:val="00612F7B"/>
    <w:rsid w:val="006B6816"/>
    <w:rsid w:val="006F23B0"/>
    <w:rsid w:val="008D53A2"/>
    <w:rsid w:val="0094502A"/>
    <w:rsid w:val="00AD2EE0"/>
    <w:rsid w:val="00B66CF7"/>
    <w:rsid w:val="00BD29E6"/>
    <w:rsid w:val="00CB5529"/>
    <w:rsid w:val="00E571D3"/>
    <w:rsid w:val="00ED05FA"/>
    <w:rsid w:val="00FB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84A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4550AD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B384A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550AD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5F5F8D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94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02A"/>
    <w:rPr>
      <w:rFonts w:ascii="Tahoma" w:eastAsiaTheme="minorHAnsi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B6816"/>
    <w:rPr>
      <w:b/>
      <w:bCs/>
    </w:rPr>
  </w:style>
  <w:style w:type="character" w:styleId="a7">
    <w:name w:val="Hyperlink"/>
    <w:basedOn w:val="a0"/>
    <w:uiPriority w:val="99"/>
    <w:semiHidden/>
    <w:unhideWhenUsed/>
    <w:rsid w:val="006B6816"/>
    <w:rPr>
      <w:color w:val="0000FF"/>
      <w:u w:val="single"/>
    </w:rPr>
  </w:style>
  <w:style w:type="character" w:styleId="a8">
    <w:name w:val="Emphasis"/>
    <w:basedOn w:val="a0"/>
    <w:uiPriority w:val="20"/>
    <w:qFormat/>
    <w:rsid w:val="00612F7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84A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4550AD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B384A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550AD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5F5F8D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94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02A"/>
    <w:rPr>
      <w:rFonts w:ascii="Tahoma" w:eastAsiaTheme="minorHAnsi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B6816"/>
    <w:rPr>
      <w:b/>
      <w:bCs/>
    </w:rPr>
  </w:style>
  <w:style w:type="character" w:styleId="a7">
    <w:name w:val="Hyperlink"/>
    <w:basedOn w:val="a0"/>
    <w:uiPriority w:val="99"/>
    <w:semiHidden/>
    <w:unhideWhenUsed/>
    <w:rsid w:val="006B6816"/>
    <w:rPr>
      <w:color w:val="0000FF"/>
      <w:u w:val="single"/>
    </w:rPr>
  </w:style>
  <w:style w:type="character" w:styleId="a8">
    <w:name w:val="Emphasis"/>
    <w:basedOn w:val="a0"/>
    <w:uiPriority w:val="20"/>
    <w:qFormat/>
    <w:rsid w:val="00612F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dvesti.ru/glossary/desk/1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5326</Words>
  <Characters>30362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2017-09-09T20:01:00Z</dcterms:created>
  <dcterms:modified xsi:type="dcterms:W3CDTF">2017-11-13T04:56:00Z</dcterms:modified>
</cp:coreProperties>
</file>