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31E" w:rsidRPr="0064331E" w:rsidRDefault="0064331E" w:rsidP="0064331E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4331E">
        <w:rPr>
          <w:b/>
          <w:sz w:val="28"/>
          <w:szCs w:val="28"/>
        </w:rPr>
        <w:t xml:space="preserve">ТЕМА </w:t>
      </w:r>
      <w:r w:rsidR="00E04235">
        <w:rPr>
          <w:b/>
          <w:sz w:val="28"/>
          <w:szCs w:val="28"/>
        </w:rPr>
        <w:t>2</w:t>
      </w:r>
      <w:r w:rsidRPr="0064331E">
        <w:rPr>
          <w:b/>
          <w:sz w:val="28"/>
          <w:szCs w:val="28"/>
        </w:rPr>
        <w:t>.</w:t>
      </w:r>
      <w:r w:rsidRPr="0064331E">
        <w:rPr>
          <w:sz w:val="28"/>
          <w:szCs w:val="28"/>
        </w:rPr>
        <w:t xml:space="preserve"> </w:t>
      </w:r>
      <w:r w:rsidRPr="0064331E">
        <w:rPr>
          <w:b/>
          <w:sz w:val="28"/>
          <w:szCs w:val="28"/>
        </w:rPr>
        <w:t>Финансирование и производство в общественном секторе</w:t>
      </w:r>
    </w:p>
    <w:p w:rsidR="0064331E" w:rsidRPr="0064331E" w:rsidRDefault="0064331E" w:rsidP="0064331E">
      <w:pPr>
        <w:spacing w:line="360" w:lineRule="auto"/>
        <w:ind w:firstLine="709"/>
        <w:jc w:val="center"/>
        <w:rPr>
          <w:b/>
          <w:i/>
          <w:sz w:val="28"/>
          <w:szCs w:val="28"/>
        </w:rPr>
      </w:pPr>
    </w:p>
    <w:p w:rsidR="0064331E" w:rsidRPr="00E135AC" w:rsidRDefault="0064331E" w:rsidP="0064331E">
      <w:pPr>
        <w:widowControl w:val="0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135AC">
        <w:rPr>
          <w:sz w:val="28"/>
          <w:szCs w:val="28"/>
        </w:rPr>
        <w:t>Роль государства в распределении и перераспределении расходов</w:t>
      </w:r>
    </w:p>
    <w:p w:rsidR="0064331E" w:rsidRPr="00E135AC" w:rsidRDefault="0064331E" w:rsidP="0064331E">
      <w:pPr>
        <w:widowControl w:val="0"/>
        <w:numPr>
          <w:ilvl w:val="0"/>
          <w:numId w:val="6"/>
        </w:numPr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135AC">
        <w:rPr>
          <w:rStyle w:val="submenu-table"/>
          <w:bCs/>
          <w:sz w:val="28"/>
          <w:szCs w:val="28"/>
        </w:rPr>
        <w:t>Принципы и методы управления общественным сектором</w:t>
      </w:r>
    </w:p>
    <w:p w:rsidR="0064331E" w:rsidRPr="00E135AC" w:rsidRDefault="0064331E" w:rsidP="0064331E">
      <w:pPr>
        <w:widowControl w:val="0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135AC">
        <w:rPr>
          <w:rStyle w:val="submenu-table"/>
          <w:bCs/>
          <w:sz w:val="28"/>
          <w:szCs w:val="28"/>
        </w:rPr>
        <w:t>Особенности финансирования в общественном секторе и государственные расходы на общественный сектор</w:t>
      </w:r>
      <w:r w:rsidRPr="00E135AC">
        <w:rPr>
          <w:bCs/>
          <w:sz w:val="28"/>
          <w:szCs w:val="28"/>
        </w:rPr>
        <w:t xml:space="preserve"> </w:t>
      </w:r>
    </w:p>
    <w:p w:rsidR="0064331E" w:rsidRPr="00E135AC" w:rsidRDefault="0064331E" w:rsidP="0064331E">
      <w:pPr>
        <w:widowControl w:val="0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135AC">
        <w:rPr>
          <w:sz w:val="28"/>
          <w:szCs w:val="28"/>
        </w:rPr>
        <w:t>Приватизация государственного имущества</w:t>
      </w:r>
    </w:p>
    <w:p w:rsidR="0064331E" w:rsidRPr="00E135AC" w:rsidRDefault="0064331E" w:rsidP="0064331E">
      <w:pPr>
        <w:widowControl w:val="0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135AC">
        <w:rPr>
          <w:bCs/>
          <w:sz w:val="28"/>
          <w:szCs w:val="28"/>
        </w:rPr>
        <w:t>Квазирынки</w:t>
      </w:r>
      <w:proofErr w:type="spellEnd"/>
    </w:p>
    <w:p w:rsidR="0064331E" w:rsidRPr="00E135AC" w:rsidRDefault="0064331E" w:rsidP="0064331E">
      <w:pPr>
        <w:widowControl w:val="0"/>
        <w:numPr>
          <w:ilvl w:val="0"/>
          <w:numId w:val="6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E135AC">
        <w:rPr>
          <w:bCs/>
          <w:sz w:val="28"/>
          <w:szCs w:val="28"/>
        </w:rPr>
        <w:t>Государственное регулирование деятельности предприятий и организаций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napToGrid w:val="0"/>
          <w:sz w:val="28"/>
          <w:szCs w:val="28"/>
        </w:rPr>
      </w:pPr>
    </w:p>
    <w:p w:rsidR="0064331E" w:rsidRPr="0064331E" w:rsidRDefault="0064331E" w:rsidP="0064331E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64331E">
        <w:rPr>
          <w:b/>
          <w:sz w:val="28"/>
          <w:szCs w:val="28"/>
        </w:rPr>
        <w:t>1.Роль государства в распределении и перераспределении расходов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napToGrid w:val="0"/>
          <w:sz w:val="28"/>
          <w:szCs w:val="28"/>
        </w:rPr>
        <w:t xml:space="preserve">Государственная политика доходов заключается в перераспределении их через госбюджет путем дифференцированного налогообложения различных групп получателей дохода и социальных выплат. При этом значительная доля национального дохода переходит </w:t>
      </w:r>
      <w:bookmarkStart w:id="0" w:name="_GoBack"/>
      <w:bookmarkEnd w:id="0"/>
      <w:r w:rsidRPr="0064331E">
        <w:rPr>
          <w:snapToGrid w:val="0"/>
          <w:sz w:val="28"/>
          <w:szCs w:val="28"/>
        </w:rPr>
        <w:t xml:space="preserve">от слоев населения с высокими доходами к слоям с низкими доходами. Ныне все развитые страны мира создали системы социальной поддержки </w:t>
      </w:r>
      <w:proofErr w:type="gramStart"/>
      <w:r w:rsidRPr="0064331E">
        <w:rPr>
          <w:snapToGrid w:val="0"/>
          <w:sz w:val="28"/>
          <w:szCs w:val="28"/>
        </w:rPr>
        <w:t>малоимущих</w:t>
      </w:r>
      <w:proofErr w:type="gramEnd"/>
      <w:r w:rsidRPr="0064331E">
        <w:rPr>
          <w:snapToGrid w:val="0"/>
          <w:sz w:val="28"/>
          <w:szCs w:val="28"/>
        </w:rPr>
        <w:t>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4331E">
        <w:rPr>
          <w:snapToGrid w:val="0"/>
          <w:sz w:val="28"/>
          <w:szCs w:val="28"/>
        </w:rPr>
        <w:t>Социальные трансферты – это система мер денежной или натуральной помощи малоимущим, не связанной с их участием в хозяйственной деятельности в настоящее время или и прошлом.</w:t>
      </w:r>
      <w:proofErr w:type="gramEnd"/>
      <w:r w:rsidRPr="0064331E">
        <w:rPr>
          <w:snapToGrid w:val="0"/>
          <w:sz w:val="28"/>
          <w:szCs w:val="28"/>
        </w:rPr>
        <w:t xml:space="preserve"> Целью социал</w:t>
      </w:r>
      <w:bookmarkStart w:id="1" w:name="OCRUncertain104"/>
      <w:r w:rsidRPr="0064331E">
        <w:rPr>
          <w:snapToGrid w:val="0"/>
          <w:sz w:val="28"/>
          <w:szCs w:val="28"/>
        </w:rPr>
        <w:t>ь</w:t>
      </w:r>
      <w:bookmarkEnd w:id="1"/>
      <w:r w:rsidRPr="0064331E">
        <w:rPr>
          <w:snapToGrid w:val="0"/>
          <w:sz w:val="28"/>
          <w:szCs w:val="28"/>
        </w:rPr>
        <w:t xml:space="preserve">ных трансфертов является </w:t>
      </w:r>
      <w:proofErr w:type="spellStart"/>
      <w:r w:rsidRPr="0064331E">
        <w:rPr>
          <w:snapToGrid w:val="0"/>
          <w:sz w:val="28"/>
          <w:szCs w:val="28"/>
        </w:rPr>
        <w:t>гуманизация</w:t>
      </w:r>
      <w:proofErr w:type="spellEnd"/>
      <w:r w:rsidRPr="0064331E">
        <w:rPr>
          <w:snapToGrid w:val="0"/>
          <w:sz w:val="28"/>
          <w:szCs w:val="28"/>
        </w:rPr>
        <w:t xml:space="preserve"> отношений в обществе, предотвращение роста преступности, а также поддержание внутреннего спроса.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napToGrid w:val="0"/>
          <w:sz w:val="28"/>
          <w:szCs w:val="28"/>
        </w:rPr>
        <w:t>Пер</w:t>
      </w:r>
      <w:bookmarkStart w:id="2" w:name="OCRUncertain1095"/>
      <w:r w:rsidRPr="0064331E">
        <w:rPr>
          <w:snapToGrid w:val="0"/>
          <w:sz w:val="28"/>
          <w:szCs w:val="28"/>
        </w:rPr>
        <w:t>е</w:t>
      </w:r>
      <w:bookmarkEnd w:id="2"/>
      <w:r w:rsidRPr="0064331E">
        <w:rPr>
          <w:snapToGrid w:val="0"/>
          <w:sz w:val="28"/>
          <w:szCs w:val="28"/>
        </w:rPr>
        <w:t>распр</w:t>
      </w:r>
      <w:bookmarkStart w:id="3" w:name="OCRUncertain1096"/>
      <w:r w:rsidRPr="0064331E">
        <w:rPr>
          <w:snapToGrid w:val="0"/>
          <w:sz w:val="28"/>
          <w:szCs w:val="28"/>
        </w:rPr>
        <w:t>е</w:t>
      </w:r>
      <w:bookmarkEnd w:id="3"/>
      <w:r w:rsidRPr="0064331E">
        <w:rPr>
          <w:snapToGrid w:val="0"/>
          <w:sz w:val="28"/>
          <w:szCs w:val="28"/>
        </w:rPr>
        <w:t>д</w:t>
      </w:r>
      <w:bookmarkStart w:id="4" w:name="OCRUncertain1097"/>
      <w:r w:rsidRPr="0064331E">
        <w:rPr>
          <w:snapToGrid w:val="0"/>
          <w:sz w:val="28"/>
          <w:szCs w:val="28"/>
        </w:rPr>
        <w:t>е</w:t>
      </w:r>
      <w:bookmarkEnd w:id="4"/>
      <w:r w:rsidRPr="0064331E">
        <w:rPr>
          <w:snapToGrid w:val="0"/>
          <w:sz w:val="28"/>
          <w:szCs w:val="28"/>
        </w:rPr>
        <w:t>ление доходов правительство осуществляет прямым и косвенным с</w:t>
      </w:r>
      <w:bookmarkStart w:id="5" w:name="OCRUncertain1098"/>
      <w:r w:rsidRPr="0064331E">
        <w:rPr>
          <w:snapToGrid w:val="0"/>
          <w:sz w:val="28"/>
          <w:szCs w:val="28"/>
        </w:rPr>
        <w:t>п</w:t>
      </w:r>
      <w:bookmarkEnd w:id="5"/>
      <w:r w:rsidRPr="0064331E">
        <w:rPr>
          <w:snapToGrid w:val="0"/>
          <w:sz w:val="28"/>
          <w:szCs w:val="28"/>
        </w:rPr>
        <w:t>особами, включающ</w:t>
      </w:r>
      <w:bookmarkStart w:id="6" w:name="OCRUncertain1099"/>
      <w:r w:rsidRPr="0064331E">
        <w:rPr>
          <w:snapToGrid w:val="0"/>
          <w:sz w:val="28"/>
          <w:szCs w:val="28"/>
        </w:rPr>
        <w:t>и</w:t>
      </w:r>
      <w:bookmarkEnd w:id="6"/>
      <w:r w:rsidRPr="0064331E">
        <w:rPr>
          <w:snapToGrid w:val="0"/>
          <w:sz w:val="28"/>
          <w:szCs w:val="28"/>
        </w:rPr>
        <w:t>ми:</w:t>
      </w:r>
    </w:p>
    <w:p w:rsidR="0064331E" w:rsidRPr="0064331E" w:rsidRDefault="0064331E" w:rsidP="0064331E">
      <w:pPr>
        <w:widowControl w:val="0"/>
        <w:tabs>
          <w:tab w:val="num" w:pos="284"/>
        </w:tabs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Fonts w:eastAsia="Wingdings"/>
          <w:snapToGrid w:val="0"/>
          <w:sz w:val="28"/>
          <w:szCs w:val="28"/>
        </w:rPr>
        <w:sym w:font="Times New Roman" w:char="F0FC"/>
      </w:r>
      <w:r w:rsidRPr="0064331E">
        <w:rPr>
          <w:rFonts w:eastAsia="Wingdings"/>
          <w:snapToGrid w:val="0"/>
          <w:sz w:val="28"/>
          <w:szCs w:val="28"/>
        </w:rPr>
        <w:t xml:space="preserve"> </w:t>
      </w:r>
      <w:r w:rsidRPr="0064331E">
        <w:rPr>
          <w:snapToGrid w:val="0"/>
          <w:sz w:val="28"/>
          <w:szCs w:val="28"/>
        </w:rPr>
        <w:t xml:space="preserve">«трансфертные платежи», то </w:t>
      </w:r>
      <w:bookmarkStart w:id="7" w:name="OCRUncertain1104"/>
      <w:r w:rsidRPr="0064331E">
        <w:rPr>
          <w:snapToGrid w:val="0"/>
          <w:sz w:val="28"/>
          <w:szCs w:val="28"/>
        </w:rPr>
        <w:t>е</w:t>
      </w:r>
      <w:bookmarkEnd w:id="7"/>
      <w:r w:rsidRPr="0064331E">
        <w:rPr>
          <w:snapToGrid w:val="0"/>
          <w:sz w:val="28"/>
          <w:szCs w:val="28"/>
        </w:rPr>
        <w:t>ст</w:t>
      </w:r>
      <w:bookmarkStart w:id="8" w:name="OCRUncertain1105"/>
      <w:r w:rsidRPr="0064331E">
        <w:rPr>
          <w:snapToGrid w:val="0"/>
          <w:sz w:val="28"/>
          <w:szCs w:val="28"/>
        </w:rPr>
        <w:t>ь</w:t>
      </w:r>
      <w:bookmarkEnd w:id="8"/>
      <w:r w:rsidRPr="0064331E">
        <w:rPr>
          <w:snapToGrid w:val="0"/>
          <w:sz w:val="28"/>
          <w:szCs w:val="28"/>
        </w:rPr>
        <w:t xml:space="preserve"> пособия, вып</w:t>
      </w:r>
      <w:bookmarkStart w:id="9" w:name="OCRUncertain1106"/>
      <w:r w:rsidRPr="0064331E">
        <w:rPr>
          <w:snapToGrid w:val="0"/>
          <w:sz w:val="28"/>
          <w:szCs w:val="28"/>
        </w:rPr>
        <w:t>л</w:t>
      </w:r>
      <w:bookmarkEnd w:id="9"/>
      <w:r w:rsidRPr="0064331E">
        <w:rPr>
          <w:snapToGrid w:val="0"/>
          <w:sz w:val="28"/>
          <w:szCs w:val="28"/>
        </w:rPr>
        <w:t>ачиваемые малообесп</w:t>
      </w:r>
      <w:bookmarkStart w:id="10" w:name="OCRUncertain1107"/>
      <w:r w:rsidRPr="0064331E">
        <w:rPr>
          <w:snapToGrid w:val="0"/>
          <w:sz w:val="28"/>
          <w:szCs w:val="28"/>
        </w:rPr>
        <w:t>е</w:t>
      </w:r>
      <w:bookmarkEnd w:id="10"/>
      <w:r w:rsidRPr="0064331E">
        <w:rPr>
          <w:snapToGrid w:val="0"/>
          <w:sz w:val="28"/>
          <w:szCs w:val="28"/>
        </w:rPr>
        <w:t>че</w:t>
      </w:r>
      <w:bookmarkStart w:id="11" w:name="OCRUncertain1108"/>
      <w:r w:rsidRPr="0064331E">
        <w:rPr>
          <w:snapToGrid w:val="0"/>
          <w:sz w:val="28"/>
          <w:szCs w:val="28"/>
        </w:rPr>
        <w:t>н</w:t>
      </w:r>
      <w:bookmarkEnd w:id="11"/>
      <w:r w:rsidRPr="0064331E">
        <w:rPr>
          <w:snapToGrid w:val="0"/>
          <w:sz w:val="28"/>
          <w:szCs w:val="28"/>
        </w:rPr>
        <w:t>ным гру</w:t>
      </w:r>
      <w:bookmarkStart w:id="12" w:name="OCRUncertain1109"/>
      <w:r w:rsidRPr="0064331E">
        <w:rPr>
          <w:snapToGrid w:val="0"/>
          <w:sz w:val="28"/>
          <w:szCs w:val="28"/>
        </w:rPr>
        <w:t>п</w:t>
      </w:r>
      <w:bookmarkEnd w:id="12"/>
      <w:r w:rsidRPr="0064331E">
        <w:rPr>
          <w:snapToGrid w:val="0"/>
          <w:sz w:val="28"/>
          <w:szCs w:val="28"/>
        </w:rPr>
        <w:t>пам иждивенцам, инвалидам, престарелым и безработным;</w:t>
      </w:r>
    </w:p>
    <w:p w:rsidR="0064331E" w:rsidRPr="0064331E" w:rsidRDefault="0064331E" w:rsidP="0064331E">
      <w:pPr>
        <w:widowControl w:val="0"/>
        <w:tabs>
          <w:tab w:val="num" w:pos="284"/>
        </w:tabs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Fonts w:eastAsia="Wingdings"/>
          <w:snapToGrid w:val="0"/>
          <w:sz w:val="28"/>
          <w:szCs w:val="28"/>
        </w:rPr>
        <w:sym w:font="Times New Roman" w:char="F0FC"/>
      </w:r>
      <w:r w:rsidRPr="0064331E">
        <w:rPr>
          <w:rFonts w:eastAsia="Wingdings"/>
          <w:snapToGrid w:val="0"/>
          <w:sz w:val="28"/>
          <w:szCs w:val="28"/>
        </w:rPr>
        <w:t xml:space="preserve"> </w:t>
      </w:r>
      <w:r w:rsidRPr="0064331E">
        <w:rPr>
          <w:snapToGrid w:val="0"/>
          <w:sz w:val="28"/>
          <w:szCs w:val="28"/>
        </w:rPr>
        <w:t>«р</w:t>
      </w:r>
      <w:bookmarkStart w:id="13" w:name="OCRUncertain1110"/>
      <w:r w:rsidRPr="0064331E">
        <w:rPr>
          <w:snapToGrid w:val="0"/>
          <w:sz w:val="28"/>
          <w:szCs w:val="28"/>
        </w:rPr>
        <w:t>е</w:t>
      </w:r>
      <w:bookmarkEnd w:id="13"/>
      <w:r w:rsidRPr="0064331E">
        <w:rPr>
          <w:snapToGrid w:val="0"/>
          <w:sz w:val="28"/>
          <w:szCs w:val="28"/>
        </w:rPr>
        <w:t>гул</w:t>
      </w:r>
      <w:bookmarkStart w:id="14" w:name="OCRUncertain1111"/>
      <w:r w:rsidRPr="0064331E">
        <w:rPr>
          <w:snapToGrid w:val="0"/>
          <w:sz w:val="28"/>
          <w:szCs w:val="28"/>
        </w:rPr>
        <w:t>и</w:t>
      </w:r>
      <w:bookmarkEnd w:id="14"/>
      <w:r w:rsidRPr="0064331E">
        <w:rPr>
          <w:snapToGrid w:val="0"/>
          <w:sz w:val="28"/>
          <w:szCs w:val="28"/>
        </w:rPr>
        <w:t>ро</w:t>
      </w:r>
      <w:bookmarkStart w:id="15" w:name="OCRUncertain1112"/>
      <w:r w:rsidRPr="0064331E">
        <w:rPr>
          <w:snapToGrid w:val="0"/>
          <w:sz w:val="28"/>
          <w:szCs w:val="28"/>
        </w:rPr>
        <w:t>в</w:t>
      </w:r>
      <w:bookmarkEnd w:id="15"/>
      <w:r w:rsidRPr="0064331E">
        <w:rPr>
          <w:snapToGrid w:val="0"/>
          <w:sz w:val="28"/>
          <w:szCs w:val="28"/>
        </w:rPr>
        <w:t>ание це</w:t>
      </w:r>
      <w:bookmarkStart w:id="16" w:name="OCRUncertain1113"/>
      <w:r w:rsidRPr="0064331E">
        <w:rPr>
          <w:snapToGrid w:val="0"/>
          <w:sz w:val="28"/>
          <w:szCs w:val="28"/>
        </w:rPr>
        <w:t>н</w:t>
      </w:r>
      <w:bookmarkEnd w:id="16"/>
      <w:r w:rsidRPr="0064331E">
        <w:rPr>
          <w:snapToGrid w:val="0"/>
          <w:sz w:val="28"/>
          <w:szCs w:val="28"/>
        </w:rPr>
        <w:t>» на социально-важную продукцию;</w:t>
      </w:r>
    </w:p>
    <w:p w:rsidR="0064331E" w:rsidRPr="0064331E" w:rsidRDefault="0064331E" w:rsidP="0064331E">
      <w:pPr>
        <w:widowControl w:val="0"/>
        <w:tabs>
          <w:tab w:val="num" w:pos="284"/>
        </w:tabs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Fonts w:eastAsia="Wingdings"/>
          <w:snapToGrid w:val="0"/>
          <w:sz w:val="28"/>
          <w:szCs w:val="28"/>
        </w:rPr>
        <w:sym w:font="Times New Roman" w:char="F0FC"/>
      </w:r>
      <w:r w:rsidRPr="0064331E">
        <w:rPr>
          <w:rFonts w:eastAsia="Wingdings"/>
          <w:snapToGrid w:val="0"/>
          <w:sz w:val="28"/>
          <w:szCs w:val="28"/>
        </w:rPr>
        <w:t xml:space="preserve"> </w:t>
      </w:r>
      <w:r w:rsidRPr="0064331E">
        <w:rPr>
          <w:snapToGrid w:val="0"/>
          <w:sz w:val="28"/>
          <w:szCs w:val="28"/>
        </w:rPr>
        <w:t>«индексацию» фиксированных доходов и трансфертных плат</w:t>
      </w:r>
      <w:bookmarkStart w:id="17" w:name="OCRUncertain1114"/>
      <w:r w:rsidRPr="0064331E">
        <w:rPr>
          <w:snapToGrid w:val="0"/>
          <w:sz w:val="28"/>
          <w:szCs w:val="28"/>
        </w:rPr>
        <w:t>е</w:t>
      </w:r>
      <w:bookmarkEnd w:id="17"/>
      <w:r w:rsidRPr="0064331E">
        <w:rPr>
          <w:snapToGrid w:val="0"/>
          <w:sz w:val="28"/>
          <w:szCs w:val="28"/>
        </w:rPr>
        <w:t>ж</w:t>
      </w:r>
      <w:bookmarkStart w:id="18" w:name="OCRUncertain1115"/>
      <w:r w:rsidRPr="0064331E">
        <w:rPr>
          <w:snapToGrid w:val="0"/>
          <w:sz w:val="28"/>
          <w:szCs w:val="28"/>
        </w:rPr>
        <w:t>е</w:t>
      </w:r>
      <w:bookmarkEnd w:id="18"/>
      <w:r w:rsidRPr="0064331E">
        <w:rPr>
          <w:snapToGrid w:val="0"/>
          <w:sz w:val="28"/>
          <w:szCs w:val="28"/>
        </w:rPr>
        <w:t>й п</w:t>
      </w:r>
      <w:bookmarkStart w:id="19" w:name="OCRUncertain1116"/>
      <w:r w:rsidRPr="0064331E">
        <w:rPr>
          <w:snapToGrid w:val="0"/>
          <w:sz w:val="28"/>
          <w:szCs w:val="28"/>
        </w:rPr>
        <w:t>ри</w:t>
      </w:r>
      <w:bookmarkEnd w:id="19"/>
      <w:r w:rsidRPr="0064331E">
        <w:rPr>
          <w:snapToGrid w:val="0"/>
          <w:sz w:val="28"/>
          <w:szCs w:val="28"/>
        </w:rPr>
        <w:t xml:space="preserve"> </w:t>
      </w:r>
      <w:r w:rsidRPr="0064331E">
        <w:rPr>
          <w:snapToGrid w:val="0"/>
          <w:sz w:val="28"/>
          <w:szCs w:val="28"/>
        </w:rPr>
        <w:lastRenderedPageBreak/>
        <w:t>о</w:t>
      </w:r>
      <w:bookmarkStart w:id="20" w:name="OCRUncertain1117"/>
      <w:r w:rsidRPr="0064331E">
        <w:rPr>
          <w:snapToGrid w:val="0"/>
          <w:sz w:val="28"/>
          <w:szCs w:val="28"/>
        </w:rPr>
        <w:t>п</w:t>
      </w:r>
      <w:bookmarkEnd w:id="20"/>
      <w:r w:rsidRPr="0064331E">
        <w:rPr>
          <w:snapToGrid w:val="0"/>
          <w:sz w:val="28"/>
          <w:szCs w:val="28"/>
        </w:rPr>
        <w:t>р</w:t>
      </w:r>
      <w:bookmarkStart w:id="21" w:name="OCRUncertain1118"/>
      <w:r w:rsidRPr="0064331E">
        <w:rPr>
          <w:snapToGrid w:val="0"/>
          <w:sz w:val="28"/>
          <w:szCs w:val="28"/>
        </w:rPr>
        <w:t>е</w:t>
      </w:r>
      <w:bookmarkEnd w:id="21"/>
      <w:r w:rsidRPr="0064331E">
        <w:rPr>
          <w:snapToGrid w:val="0"/>
          <w:sz w:val="28"/>
          <w:szCs w:val="28"/>
        </w:rPr>
        <w:t>д</w:t>
      </w:r>
      <w:bookmarkStart w:id="22" w:name="OCRUncertain1119"/>
      <w:r w:rsidRPr="0064331E">
        <w:rPr>
          <w:snapToGrid w:val="0"/>
          <w:sz w:val="28"/>
          <w:szCs w:val="28"/>
        </w:rPr>
        <w:t>е</w:t>
      </w:r>
      <w:bookmarkEnd w:id="22"/>
      <w:r w:rsidRPr="0064331E">
        <w:rPr>
          <w:snapToGrid w:val="0"/>
          <w:sz w:val="28"/>
          <w:szCs w:val="28"/>
        </w:rPr>
        <w:t>ленном законом проценте инфляции;</w:t>
      </w:r>
    </w:p>
    <w:p w:rsidR="0064331E" w:rsidRPr="0064331E" w:rsidRDefault="0064331E" w:rsidP="0064331E">
      <w:pPr>
        <w:widowControl w:val="0"/>
        <w:tabs>
          <w:tab w:val="num" w:pos="284"/>
        </w:tabs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Fonts w:eastAsia="Wingdings"/>
          <w:snapToGrid w:val="0"/>
          <w:sz w:val="28"/>
          <w:szCs w:val="28"/>
        </w:rPr>
        <w:sym w:font="Times New Roman" w:char="F0FC"/>
      </w:r>
      <w:r w:rsidRPr="0064331E">
        <w:rPr>
          <w:rFonts w:eastAsia="Wingdings"/>
          <w:snapToGrid w:val="0"/>
          <w:sz w:val="28"/>
          <w:szCs w:val="28"/>
        </w:rPr>
        <w:t xml:space="preserve"> </w:t>
      </w:r>
      <w:r w:rsidRPr="0064331E">
        <w:rPr>
          <w:snapToGrid w:val="0"/>
          <w:sz w:val="28"/>
          <w:szCs w:val="28"/>
        </w:rPr>
        <w:t>«обязательны</w:t>
      </w:r>
      <w:bookmarkStart w:id="23" w:name="OCRUncertain1120"/>
      <w:r w:rsidRPr="0064331E">
        <w:rPr>
          <w:snapToGrid w:val="0"/>
          <w:sz w:val="28"/>
          <w:szCs w:val="28"/>
        </w:rPr>
        <w:t>й</w:t>
      </w:r>
      <w:bookmarkEnd w:id="23"/>
      <w:r w:rsidRPr="0064331E">
        <w:rPr>
          <w:snapToGrid w:val="0"/>
          <w:sz w:val="28"/>
          <w:szCs w:val="28"/>
        </w:rPr>
        <w:t xml:space="preserve"> мин</w:t>
      </w:r>
      <w:bookmarkStart w:id="24" w:name="OCRUncertain1121"/>
      <w:r w:rsidRPr="0064331E">
        <w:rPr>
          <w:snapToGrid w:val="0"/>
          <w:sz w:val="28"/>
          <w:szCs w:val="28"/>
        </w:rPr>
        <w:t>и</w:t>
      </w:r>
      <w:bookmarkEnd w:id="24"/>
      <w:r w:rsidRPr="0064331E">
        <w:rPr>
          <w:snapToGrid w:val="0"/>
          <w:sz w:val="28"/>
          <w:szCs w:val="28"/>
        </w:rPr>
        <w:t>мум зарплаты» как базы оплаты руда на вс</w:t>
      </w:r>
      <w:bookmarkStart w:id="25" w:name="OCRUncertain1122"/>
      <w:r w:rsidRPr="0064331E">
        <w:rPr>
          <w:snapToGrid w:val="0"/>
          <w:sz w:val="28"/>
          <w:szCs w:val="28"/>
        </w:rPr>
        <w:t>е</w:t>
      </w:r>
      <w:bookmarkEnd w:id="25"/>
      <w:r w:rsidRPr="0064331E">
        <w:rPr>
          <w:snapToGrid w:val="0"/>
          <w:sz w:val="28"/>
          <w:szCs w:val="28"/>
        </w:rPr>
        <w:t>х пр</w:t>
      </w:r>
      <w:bookmarkStart w:id="26" w:name="OCRUncertain1123"/>
      <w:r w:rsidRPr="0064331E">
        <w:rPr>
          <w:snapToGrid w:val="0"/>
          <w:sz w:val="28"/>
          <w:szCs w:val="28"/>
        </w:rPr>
        <w:t>е</w:t>
      </w:r>
      <w:bookmarkEnd w:id="26"/>
      <w:r w:rsidRPr="0064331E">
        <w:rPr>
          <w:snapToGrid w:val="0"/>
          <w:sz w:val="28"/>
          <w:szCs w:val="28"/>
        </w:rPr>
        <w:t>д</w:t>
      </w:r>
      <w:bookmarkStart w:id="27" w:name="OCRUncertain1124"/>
      <w:r w:rsidRPr="0064331E">
        <w:rPr>
          <w:snapToGrid w:val="0"/>
          <w:sz w:val="28"/>
          <w:szCs w:val="28"/>
        </w:rPr>
        <w:t>п</w:t>
      </w:r>
      <w:bookmarkEnd w:id="27"/>
      <w:r w:rsidRPr="0064331E">
        <w:rPr>
          <w:snapToGrid w:val="0"/>
          <w:sz w:val="28"/>
          <w:szCs w:val="28"/>
        </w:rPr>
        <w:t>риятиях;</w:t>
      </w:r>
    </w:p>
    <w:p w:rsidR="0064331E" w:rsidRPr="0064331E" w:rsidRDefault="0064331E" w:rsidP="0064331E">
      <w:pPr>
        <w:widowControl w:val="0"/>
        <w:tabs>
          <w:tab w:val="num" w:pos="284"/>
        </w:tabs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Fonts w:eastAsia="Wingdings"/>
          <w:snapToGrid w:val="0"/>
          <w:sz w:val="28"/>
          <w:szCs w:val="28"/>
        </w:rPr>
        <w:sym w:font="Times New Roman" w:char="F0FC"/>
      </w:r>
      <w:r w:rsidRPr="0064331E">
        <w:rPr>
          <w:rFonts w:eastAsia="Wingdings"/>
          <w:snapToGrid w:val="0"/>
          <w:sz w:val="28"/>
          <w:szCs w:val="28"/>
        </w:rPr>
        <w:t xml:space="preserve"> </w:t>
      </w:r>
      <w:r w:rsidRPr="0064331E">
        <w:rPr>
          <w:snapToGrid w:val="0"/>
          <w:sz w:val="28"/>
          <w:szCs w:val="28"/>
        </w:rPr>
        <w:t>«прогр</w:t>
      </w:r>
      <w:bookmarkStart w:id="28" w:name="OCRUncertain1125"/>
      <w:r w:rsidRPr="0064331E">
        <w:rPr>
          <w:snapToGrid w:val="0"/>
          <w:sz w:val="28"/>
          <w:szCs w:val="28"/>
        </w:rPr>
        <w:t>е</w:t>
      </w:r>
      <w:bookmarkEnd w:id="28"/>
      <w:r w:rsidRPr="0064331E">
        <w:rPr>
          <w:snapToGrid w:val="0"/>
          <w:sz w:val="28"/>
          <w:szCs w:val="28"/>
        </w:rPr>
        <w:t>ссив</w:t>
      </w:r>
      <w:bookmarkStart w:id="29" w:name="OCRUncertain1126"/>
      <w:r w:rsidRPr="0064331E">
        <w:rPr>
          <w:snapToGrid w:val="0"/>
          <w:sz w:val="28"/>
          <w:szCs w:val="28"/>
        </w:rPr>
        <w:t>н</w:t>
      </w:r>
      <w:bookmarkEnd w:id="29"/>
      <w:r w:rsidRPr="0064331E">
        <w:rPr>
          <w:snapToGrid w:val="0"/>
          <w:sz w:val="28"/>
          <w:szCs w:val="28"/>
        </w:rPr>
        <w:t>ое налогообложение», при котором налоговая ставка увеличивается по мере роста размеров номи</w:t>
      </w:r>
      <w:bookmarkStart w:id="30" w:name="OCRUncertain1127"/>
      <w:r w:rsidRPr="0064331E">
        <w:rPr>
          <w:snapToGrid w:val="0"/>
          <w:sz w:val="28"/>
          <w:szCs w:val="28"/>
        </w:rPr>
        <w:t>н</w:t>
      </w:r>
      <w:bookmarkEnd w:id="30"/>
      <w:r w:rsidRPr="0064331E">
        <w:rPr>
          <w:snapToGrid w:val="0"/>
          <w:sz w:val="28"/>
          <w:szCs w:val="28"/>
        </w:rPr>
        <w:t>ального дохода.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Внутренняя структура социальных трансфертов различается в зависимости от особенностей той или иной модели социальной политики и включает три укрупненных элемента: 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1) социальное страхование, 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2) общественная помощь, 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3) детские пособия. 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Основное различие между моделями социальной политики заключается в трактовке детских пособий как самостоятельного элемента социальных трансфертов ("европейская" модель) либо как составной части общественной помощи ("американская" модель). В первом случае детские пособия предоставляются всем семьям, имеющим детей, а во втором - только тем, чьи доходы падают ниже определенного уровня (что выявляется с помощью специального теста). </w:t>
      </w:r>
      <w:r w:rsidRPr="0064331E">
        <w:rPr>
          <w:snapToGrid w:val="0"/>
          <w:sz w:val="28"/>
          <w:szCs w:val="28"/>
        </w:rPr>
        <w:t>Изм</w:t>
      </w:r>
      <w:bookmarkStart w:id="31" w:name="OCRUncertain1128"/>
      <w:r w:rsidRPr="0064331E">
        <w:rPr>
          <w:snapToGrid w:val="0"/>
          <w:sz w:val="28"/>
          <w:szCs w:val="28"/>
        </w:rPr>
        <w:t>е</w:t>
      </w:r>
      <w:bookmarkEnd w:id="31"/>
      <w:r w:rsidRPr="0064331E">
        <w:rPr>
          <w:snapToGrid w:val="0"/>
          <w:sz w:val="28"/>
          <w:szCs w:val="28"/>
        </w:rPr>
        <w:t>нен</w:t>
      </w:r>
      <w:bookmarkStart w:id="32" w:name="OCRUncertain1129"/>
      <w:r w:rsidRPr="0064331E">
        <w:rPr>
          <w:snapToGrid w:val="0"/>
          <w:sz w:val="28"/>
          <w:szCs w:val="28"/>
        </w:rPr>
        <w:t>и</w:t>
      </w:r>
      <w:bookmarkEnd w:id="32"/>
      <w:r w:rsidRPr="0064331E">
        <w:rPr>
          <w:snapToGrid w:val="0"/>
          <w:sz w:val="28"/>
          <w:szCs w:val="28"/>
        </w:rPr>
        <w:t>я в с</w:t>
      </w:r>
      <w:bookmarkStart w:id="33" w:name="OCRUncertain1130"/>
      <w:r w:rsidRPr="0064331E">
        <w:rPr>
          <w:snapToGrid w:val="0"/>
          <w:sz w:val="28"/>
          <w:szCs w:val="28"/>
        </w:rPr>
        <w:t>и</w:t>
      </w:r>
      <w:bookmarkEnd w:id="33"/>
      <w:r w:rsidRPr="0064331E">
        <w:rPr>
          <w:snapToGrid w:val="0"/>
          <w:sz w:val="28"/>
          <w:szCs w:val="28"/>
        </w:rPr>
        <w:t>стем</w:t>
      </w:r>
      <w:bookmarkStart w:id="34" w:name="OCRUncertain1131"/>
      <w:r w:rsidRPr="0064331E">
        <w:rPr>
          <w:snapToGrid w:val="0"/>
          <w:sz w:val="28"/>
          <w:szCs w:val="28"/>
        </w:rPr>
        <w:t>е</w:t>
      </w:r>
      <w:bookmarkEnd w:id="34"/>
      <w:r w:rsidRPr="0064331E">
        <w:rPr>
          <w:snapToGrid w:val="0"/>
          <w:sz w:val="28"/>
          <w:szCs w:val="28"/>
        </w:rPr>
        <w:t xml:space="preserve"> налогообложения и процентной ставк</w:t>
      </w:r>
      <w:bookmarkStart w:id="35" w:name="OCRUncertain1132"/>
      <w:r w:rsidRPr="0064331E">
        <w:rPr>
          <w:snapToGrid w:val="0"/>
          <w:sz w:val="28"/>
          <w:szCs w:val="28"/>
        </w:rPr>
        <w:t>е</w:t>
      </w:r>
      <w:bookmarkEnd w:id="35"/>
      <w:r w:rsidRPr="0064331E">
        <w:rPr>
          <w:snapToGrid w:val="0"/>
          <w:sz w:val="28"/>
          <w:szCs w:val="28"/>
        </w:rPr>
        <w:t xml:space="preserve"> – таковы два мощных инструмента регулирования поведения </w:t>
      </w:r>
      <w:bookmarkStart w:id="36" w:name="OCRUncertain1133"/>
      <w:proofErr w:type="spellStart"/>
      <w:r w:rsidRPr="0064331E">
        <w:rPr>
          <w:snapToGrid w:val="0"/>
          <w:sz w:val="28"/>
          <w:szCs w:val="28"/>
        </w:rPr>
        <w:t>доходополучателей</w:t>
      </w:r>
      <w:bookmarkEnd w:id="36"/>
      <w:proofErr w:type="spellEnd"/>
      <w:r w:rsidRPr="0064331E">
        <w:rPr>
          <w:snapToGrid w:val="0"/>
          <w:sz w:val="28"/>
          <w:szCs w:val="28"/>
        </w:rPr>
        <w:t xml:space="preserve"> в рыночной экономике, которыми располагает правительство. Налоги определяют размер р</w:t>
      </w:r>
      <w:bookmarkStart w:id="37" w:name="OCRUncertain1134"/>
      <w:r w:rsidRPr="0064331E">
        <w:rPr>
          <w:snapToGrid w:val="0"/>
          <w:sz w:val="28"/>
          <w:szCs w:val="28"/>
        </w:rPr>
        <w:t>е</w:t>
      </w:r>
      <w:bookmarkEnd w:id="37"/>
      <w:r w:rsidRPr="0064331E">
        <w:rPr>
          <w:snapToGrid w:val="0"/>
          <w:sz w:val="28"/>
          <w:szCs w:val="28"/>
        </w:rPr>
        <w:t>ального личного дохода, а процентная ставка, влияя на величину сбережений, определяет размер «потребляемой» части дохода и, тем самым, величину действитель</w:t>
      </w:r>
      <w:bookmarkStart w:id="38" w:name="OCRUncertain1135"/>
      <w:r w:rsidRPr="0064331E">
        <w:rPr>
          <w:snapToGrid w:val="0"/>
          <w:sz w:val="28"/>
          <w:szCs w:val="28"/>
        </w:rPr>
        <w:t>н</w:t>
      </w:r>
      <w:bookmarkEnd w:id="38"/>
      <w:r w:rsidRPr="0064331E">
        <w:rPr>
          <w:snapToGrid w:val="0"/>
          <w:sz w:val="28"/>
          <w:szCs w:val="28"/>
        </w:rPr>
        <w:t xml:space="preserve">ого </w:t>
      </w:r>
      <w:bookmarkStart w:id="39" w:name="OCRUncertain1136"/>
      <w:r w:rsidRPr="0064331E">
        <w:rPr>
          <w:snapToGrid w:val="0"/>
          <w:sz w:val="28"/>
          <w:szCs w:val="28"/>
        </w:rPr>
        <w:t>(«эффективного»)</w:t>
      </w:r>
      <w:bookmarkEnd w:id="39"/>
      <w:r w:rsidRPr="0064331E">
        <w:rPr>
          <w:snapToGrid w:val="0"/>
          <w:sz w:val="28"/>
          <w:szCs w:val="28"/>
        </w:rPr>
        <w:t xml:space="preserve"> спроса.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rStyle w:val="submenu-table"/>
          <w:b/>
          <w:bCs/>
          <w:sz w:val="28"/>
          <w:szCs w:val="28"/>
        </w:rPr>
      </w:pPr>
    </w:p>
    <w:p w:rsidR="0064331E" w:rsidRPr="0064331E" w:rsidRDefault="0064331E" w:rsidP="0064331E">
      <w:pPr>
        <w:widowControl w:val="0"/>
        <w:spacing w:line="360" w:lineRule="auto"/>
        <w:ind w:firstLine="709"/>
        <w:jc w:val="center"/>
        <w:rPr>
          <w:rStyle w:val="submenu-table"/>
          <w:b/>
          <w:bCs/>
          <w:sz w:val="28"/>
          <w:szCs w:val="28"/>
        </w:rPr>
      </w:pPr>
      <w:r w:rsidRPr="0064331E">
        <w:rPr>
          <w:rStyle w:val="submenu-table"/>
          <w:b/>
          <w:bCs/>
          <w:sz w:val="28"/>
          <w:szCs w:val="28"/>
        </w:rPr>
        <w:t>2.Принципы и методы управления общественным сектором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Основными </w:t>
      </w:r>
      <w:r w:rsidRPr="0064331E">
        <w:rPr>
          <w:bCs/>
          <w:sz w:val="28"/>
          <w:szCs w:val="28"/>
        </w:rPr>
        <w:t>принципами формирования системы государственного управления</w:t>
      </w:r>
      <w:r w:rsidRPr="0064331E">
        <w:rPr>
          <w:sz w:val="28"/>
          <w:szCs w:val="28"/>
        </w:rPr>
        <w:t xml:space="preserve"> являются: </w:t>
      </w:r>
    </w:p>
    <w:p w:rsidR="0064331E" w:rsidRPr="0064331E" w:rsidRDefault="0064331E" w:rsidP="0064331E">
      <w:pPr>
        <w:pStyle w:val="a3"/>
        <w:widowControl w:val="0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4331E">
        <w:rPr>
          <w:rFonts w:ascii="Times New Roman" w:hAnsi="Times New Roman"/>
          <w:sz w:val="28"/>
          <w:szCs w:val="28"/>
        </w:rPr>
        <w:t xml:space="preserve">разделения властей; 2) </w:t>
      </w:r>
      <w:proofErr w:type="spellStart"/>
      <w:r w:rsidRPr="0064331E">
        <w:rPr>
          <w:rFonts w:ascii="Times New Roman" w:hAnsi="Times New Roman"/>
          <w:sz w:val="28"/>
          <w:szCs w:val="28"/>
        </w:rPr>
        <w:t>комплементарности</w:t>
      </w:r>
      <w:proofErr w:type="spellEnd"/>
      <w:r w:rsidRPr="0064331E">
        <w:rPr>
          <w:rFonts w:ascii="Times New Roman" w:hAnsi="Times New Roman"/>
          <w:sz w:val="28"/>
          <w:szCs w:val="28"/>
        </w:rPr>
        <w:t xml:space="preserve">; 3) </w:t>
      </w:r>
      <w:proofErr w:type="spellStart"/>
      <w:r w:rsidRPr="0064331E">
        <w:rPr>
          <w:rFonts w:ascii="Times New Roman" w:hAnsi="Times New Roman"/>
          <w:sz w:val="28"/>
          <w:szCs w:val="28"/>
        </w:rPr>
        <w:t>субсидиарности</w:t>
      </w:r>
      <w:proofErr w:type="spellEnd"/>
      <w:r w:rsidRPr="0064331E">
        <w:rPr>
          <w:rFonts w:ascii="Times New Roman" w:hAnsi="Times New Roman"/>
          <w:sz w:val="28"/>
          <w:szCs w:val="28"/>
        </w:rPr>
        <w:t>; 4) суверенности; 5) демократизма; 6) гомогенности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 xml:space="preserve"> </w:t>
      </w:r>
      <w:proofErr w:type="gramStart"/>
      <w:r w:rsidRPr="0064331E">
        <w:rPr>
          <w:rStyle w:val="submenu-table"/>
          <w:bCs/>
          <w:sz w:val="28"/>
          <w:szCs w:val="28"/>
        </w:rPr>
        <w:t>Принцип разделения властей,</w:t>
      </w:r>
      <w:r w:rsidRPr="0064331E">
        <w:rPr>
          <w:bCs/>
          <w:sz w:val="28"/>
          <w:szCs w:val="28"/>
        </w:rPr>
        <w:t xml:space="preserve"> </w:t>
      </w:r>
      <w:r w:rsidRPr="0064331E">
        <w:rPr>
          <w:sz w:val="28"/>
          <w:szCs w:val="28"/>
        </w:rPr>
        <w:t xml:space="preserve">предполагает разделение государственной </w:t>
      </w:r>
      <w:r w:rsidRPr="0064331E">
        <w:rPr>
          <w:sz w:val="28"/>
          <w:szCs w:val="28"/>
        </w:rPr>
        <w:lastRenderedPageBreak/>
        <w:t xml:space="preserve">власти на 3 сферы: законодательную, исполнительную и судебную, что должно служит условием эффективного контроля за деятельность госаппарата. </w:t>
      </w:r>
      <w:proofErr w:type="gramEnd"/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Style w:val="butback"/>
          <w:bCs/>
          <w:sz w:val="28"/>
          <w:szCs w:val="28"/>
        </w:rPr>
        <w:t>^</w:t>
      </w:r>
      <w:r w:rsidRPr="0064331E">
        <w:rPr>
          <w:bCs/>
          <w:sz w:val="28"/>
          <w:szCs w:val="28"/>
        </w:rPr>
        <w:t xml:space="preserve"> </w:t>
      </w:r>
      <w:r w:rsidRPr="0064331E">
        <w:rPr>
          <w:rStyle w:val="submenu-table"/>
          <w:bCs/>
          <w:sz w:val="28"/>
          <w:szCs w:val="28"/>
        </w:rPr>
        <w:t xml:space="preserve">Принцип </w:t>
      </w:r>
      <w:proofErr w:type="spellStart"/>
      <w:r w:rsidRPr="0064331E">
        <w:rPr>
          <w:rStyle w:val="submenu-table"/>
          <w:bCs/>
          <w:sz w:val="28"/>
          <w:szCs w:val="28"/>
        </w:rPr>
        <w:t>комплиментарности</w:t>
      </w:r>
      <w:proofErr w:type="spellEnd"/>
      <w:r w:rsidRPr="0064331E">
        <w:rPr>
          <w:sz w:val="28"/>
          <w:szCs w:val="28"/>
        </w:rPr>
        <w:t xml:space="preserve"> характеризуется установкой на непрерывность в структуре власти. Принцип нацеливает на создание условий равномерного распределения властных функций в разрезе всей вертикали управления по различным территориальным уровням.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Style w:val="butback"/>
          <w:bCs/>
          <w:sz w:val="28"/>
          <w:szCs w:val="28"/>
        </w:rPr>
        <w:t>^</w:t>
      </w:r>
      <w:r w:rsidRPr="0064331E">
        <w:rPr>
          <w:bCs/>
          <w:sz w:val="28"/>
          <w:szCs w:val="28"/>
        </w:rPr>
        <w:t xml:space="preserve"> </w:t>
      </w:r>
      <w:r w:rsidRPr="0064331E">
        <w:rPr>
          <w:rStyle w:val="submenu-table"/>
          <w:bCs/>
          <w:sz w:val="28"/>
          <w:szCs w:val="28"/>
        </w:rPr>
        <w:t xml:space="preserve">Принцип </w:t>
      </w:r>
      <w:proofErr w:type="spellStart"/>
      <w:r w:rsidRPr="0064331E">
        <w:rPr>
          <w:rStyle w:val="submenu-table"/>
          <w:bCs/>
          <w:sz w:val="28"/>
          <w:szCs w:val="28"/>
        </w:rPr>
        <w:t>субсидиарности</w:t>
      </w:r>
      <w:proofErr w:type="spellEnd"/>
      <w:r w:rsidRPr="0064331E">
        <w:rPr>
          <w:bCs/>
          <w:sz w:val="28"/>
          <w:szCs w:val="28"/>
        </w:rPr>
        <w:t xml:space="preserve"> </w:t>
      </w:r>
      <w:r w:rsidRPr="0064331E">
        <w:rPr>
          <w:sz w:val="28"/>
          <w:szCs w:val="28"/>
        </w:rPr>
        <w:t xml:space="preserve">определяет процедуру распределения и перераспределения полномочий между управленческими уровнями государственной власти.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>Принцип суверенности</w:t>
      </w:r>
      <w:r w:rsidRPr="0064331E">
        <w:rPr>
          <w:sz w:val="28"/>
          <w:szCs w:val="28"/>
        </w:rPr>
        <w:t xml:space="preserve"> предполагает наличие фактической независимости как существенного признака государства.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rStyle w:val="submenu-table"/>
          <w:bCs/>
          <w:sz w:val="28"/>
          <w:szCs w:val="28"/>
        </w:rPr>
        <w:t>Принцип демократизма</w:t>
      </w:r>
      <w:r w:rsidRPr="0064331E">
        <w:rPr>
          <w:sz w:val="28"/>
          <w:szCs w:val="28"/>
        </w:rPr>
        <w:t xml:space="preserve"> нацеливает на активное участие городского населения в принятии решений государственного и муниципального значения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>Принцип гомогенности</w:t>
      </w:r>
      <w:r w:rsidRPr="0064331E">
        <w:rPr>
          <w:sz w:val="28"/>
          <w:szCs w:val="28"/>
        </w:rPr>
        <w:t xml:space="preserve"> отображает преимущество федерального права перед </w:t>
      </w:r>
      <w:proofErr w:type="gramStart"/>
      <w:r w:rsidRPr="0064331E">
        <w:rPr>
          <w:sz w:val="28"/>
          <w:szCs w:val="28"/>
        </w:rPr>
        <w:t>региональным</w:t>
      </w:r>
      <w:proofErr w:type="gramEnd"/>
      <w:r w:rsidRPr="0064331E">
        <w:rPr>
          <w:sz w:val="28"/>
          <w:szCs w:val="28"/>
        </w:rPr>
        <w:t xml:space="preserve">, соответствие и соподчиненность регионального законодательства федеральному.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Деятельность в сфере государственного и муниципального управления имеет свои особенности, заключающиеся главным образом в концентрации внимания на решении вопросов общественно значения. Соответственно, </w:t>
      </w:r>
      <w:r w:rsidRPr="0064331E">
        <w:rPr>
          <w:iCs/>
          <w:sz w:val="28"/>
          <w:szCs w:val="28"/>
        </w:rPr>
        <w:t>методология</w:t>
      </w:r>
      <w:r w:rsidRPr="0064331E">
        <w:rPr>
          <w:sz w:val="28"/>
          <w:szCs w:val="28"/>
        </w:rPr>
        <w:t xml:space="preserve"> решения возникающих здесь проблем не может не включать в себя, </w:t>
      </w:r>
      <w:r w:rsidRPr="0064331E">
        <w:rPr>
          <w:iCs/>
          <w:sz w:val="28"/>
          <w:szCs w:val="28"/>
        </w:rPr>
        <w:t>наряду с критериями эффективности</w:t>
      </w:r>
      <w:r w:rsidRPr="0064331E">
        <w:rPr>
          <w:sz w:val="28"/>
          <w:szCs w:val="28"/>
        </w:rPr>
        <w:t xml:space="preserve">, также </w:t>
      </w:r>
      <w:r w:rsidRPr="0064331E">
        <w:rPr>
          <w:iCs/>
          <w:sz w:val="28"/>
          <w:szCs w:val="28"/>
        </w:rPr>
        <w:t>критерии публичности и социальной консолидации</w:t>
      </w:r>
      <w:r w:rsidRPr="0064331E">
        <w:rPr>
          <w:sz w:val="28"/>
          <w:szCs w:val="28"/>
        </w:rPr>
        <w:t xml:space="preserve">. В соответствии с этими требованиями, лицо, действующее в режиме публичной власти, при принятии решения должно отбирать общественно признанные варианты эффективного решения.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rStyle w:val="submenu-table"/>
          <w:b/>
          <w:bCs/>
          <w:sz w:val="28"/>
          <w:szCs w:val="28"/>
        </w:rPr>
      </w:pPr>
    </w:p>
    <w:p w:rsidR="0064331E" w:rsidRPr="0064331E" w:rsidRDefault="0064331E" w:rsidP="0064331E">
      <w:pPr>
        <w:widowControl w:val="0"/>
        <w:spacing w:line="360" w:lineRule="auto"/>
        <w:ind w:firstLine="709"/>
        <w:jc w:val="center"/>
        <w:rPr>
          <w:rStyle w:val="submenu-table"/>
          <w:b/>
          <w:bCs/>
          <w:sz w:val="28"/>
          <w:szCs w:val="28"/>
        </w:rPr>
      </w:pPr>
      <w:r w:rsidRPr="0064331E">
        <w:rPr>
          <w:rStyle w:val="submenu-table"/>
          <w:b/>
          <w:bCs/>
          <w:sz w:val="28"/>
          <w:szCs w:val="28"/>
        </w:rPr>
        <w:t>3.Особенности финансирования в общественном секторе и государственные расходы на общественный сектор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4331E">
        <w:rPr>
          <w:sz w:val="28"/>
          <w:szCs w:val="28"/>
        </w:rPr>
        <w:t>Эффективное использование общественных сре</w:t>
      </w:r>
      <w:proofErr w:type="gramStart"/>
      <w:r w:rsidRPr="0064331E">
        <w:rPr>
          <w:sz w:val="28"/>
          <w:szCs w:val="28"/>
        </w:rPr>
        <w:t>дств пр</w:t>
      </w:r>
      <w:proofErr w:type="gramEnd"/>
      <w:r w:rsidRPr="0064331E">
        <w:rPr>
          <w:sz w:val="28"/>
          <w:szCs w:val="28"/>
        </w:rPr>
        <w:t xml:space="preserve">едполагает сопоставление затрат и результатов как программ государственного финансирования, так и проектов производственного характера. </w:t>
      </w:r>
      <w:r w:rsidRPr="0064331E">
        <w:rPr>
          <w:iCs/>
          <w:sz w:val="28"/>
          <w:szCs w:val="28"/>
        </w:rPr>
        <w:t xml:space="preserve">Рациональное </w:t>
      </w:r>
      <w:r w:rsidRPr="0064331E">
        <w:rPr>
          <w:iCs/>
          <w:sz w:val="28"/>
          <w:szCs w:val="28"/>
        </w:rPr>
        <w:lastRenderedPageBreak/>
        <w:t>определение общественных расходов определяется их: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4331E">
        <w:rPr>
          <w:iCs/>
          <w:sz w:val="28"/>
          <w:szCs w:val="28"/>
        </w:rPr>
        <w:t xml:space="preserve"> экономичностью,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4331E">
        <w:rPr>
          <w:iCs/>
          <w:sz w:val="28"/>
          <w:szCs w:val="28"/>
        </w:rPr>
        <w:t>производительностью используемых ресурсов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iCs/>
          <w:sz w:val="28"/>
          <w:szCs w:val="28"/>
          <w:u w:val="single"/>
        </w:rPr>
      </w:pPr>
      <w:r w:rsidRPr="0064331E">
        <w:rPr>
          <w:iCs/>
          <w:sz w:val="28"/>
          <w:szCs w:val="28"/>
        </w:rPr>
        <w:t>результативностью затрат.</w:t>
      </w:r>
      <w:r w:rsidRPr="0064331E">
        <w:rPr>
          <w:iCs/>
          <w:sz w:val="28"/>
          <w:szCs w:val="28"/>
          <w:u w:val="single"/>
        </w:rPr>
        <w:t xml:space="preserve">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>Экономичност</w:t>
      </w:r>
      <w:r w:rsidRPr="0064331E">
        <w:rPr>
          <w:sz w:val="28"/>
          <w:szCs w:val="28"/>
        </w:rPr>
        <w:t xml:space="preserve">ь характеризует затратную (ресурсную) сторону эффективности. Экономичными являются такие решения, при которых ресурсы необходимого состава, количества и качества приобретаются и используются с минимально возможными издержками.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>Производительность</w:t>
      </w:r>
      <w:r w:rsidRPr="0064331E">
        <w:rPr>
          <w:sz w:val="28"/>
          <w:szCs w:val="28"/>
        </w:rPr>
        <w:t xml:space="preserve"> — это соотношение количества продукции или услуг и величины затрат на их производство.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>Результативность</w:t>
      </w:r>
      <w:r w:rsidRPr="0064331E">
        <w:rPr>
          <w:sz w:val="28"/>
          <w:szCs w:val="28"/>
        </w:rPr>
        <w:t xml:space="preserve"> характеризует соответствие общественных расходов и достигаемых с их помощью результатов конкретным целям, которым в том или ином случае призван служить общественный сектор.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Ресурсный потенциал общественного сектора, сформированный на базе государственных доходов, реализуется посредством </w:t>
      </w:r>
      <w:r w:rsidRPr="0064331E">
        <w:rPr>
          <w:bCs/>
          <w:iCs/>
          <w:sz w:val="28"/>
          <w:szCs w:val="28"/>
        </w:rPr>
        <w:t xml:space="preserve">государственных (общественных) расходов, </w:t>
      </w:r>
      <w:r w:rsidRPr="0064331E">
        <w:rPr>
          <w:sz w:val="28"/>
          <w:szCs w:val="28"/>
        </w:rPr>
        <w:t xml:space="preserve">которые осуществляются как в денежных, так и в натуральных формах.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Задачи, решаемые в сфере расходования общественных средств, можно в целом разделить на три группы: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1) это оказание </w:t>
      </w:r>
      <w:r w:rsidRPr="0064331E">
        <w:rPr>
          <w:bCs/>
          <w:iCs/>
          <w:sz w:val="28"/>
          <w:szCs w:val="28"/>
        </w:rPr>
        <w:t xml:space="preserve">социальной помощи тем </w:t>
      </w:r>
      <w:r w:rsidRPr="0064331E">
        <w:rPr>
          <w:sz w:val="28"/>
          <w:szCs w:val="28"/>
        </w:rPr>
        <w:t xml:space="preserve">членам общества, которые не имеют возможности самостоятельно себя обеспечить (например, пособия, выплачиваемые инвалидам);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2) обеспечение </w:t>
      </w:r>
      <w:r w:rsidRPr="0064331E">
        <w:rPr>
          <w:bCs/>
          <w:iCs/>
          <w:sz w:val="28"/>
          <w:szCs w:val="28"/>
        </w:rPr>
        <w:t xml:space="preserve">обязательного страхования </w:t>
      </w:r>
      <w:r w:rsidRPr="0064331E">
        <w:rPr>
          <w:sz w:val="28"/>
          <w:szCs w:val="28"/>
        </w:rPr>
        <w:t xml:space="preserve">на случай болезни, безработицы и т. п.;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3) производство и приобретение благ (услуг), ответственность за удовлетворение потребностей в которых берет на себя государство.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Общественные расходы могут осуществляться в формах финансирования затрат на содержание организаций общественного сектора, закупок товаров или услуг, субсидирования предприятий и организаций, поставляющих продукцию на рынок, а также денежных выплат и натуральных выдач лицам, охваченным </w:t>
      </w:r>
      <w:r w:rsidRPr="0064331E">
        <w:rPr>
          <w:sz w:val="28"/>
          <w:szCs w:val="28"/>
        </w:rPr>
        <w:lastRenderedPageBreak/>
        <w:t xml:space="preserve">программами социальной помощи и страхования.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64331E" w:rsidRPr="0064331E" w:rsidRDefault="0064331E" w:rsidP="0064331E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64331E">
        <w:rPr>
          <w:b/>
          <w:sz w:val="28"/>
          <w:szCs w:val="28"/>
        </w:rPr>
        <w:t>4.Приватизация государственного имущества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>Приватизация</w:t>
      </w:r>
      <w:r w:rsidRPr="0064331E">
        <w:rPr>
          <w:sz w:val="28"/>
          <w:szCs w:val="28"/>
        </w:rPr>
        <w:t xml:space="preserve"> собственности — процесс превращения государственной собственности в частную собственность физических и юридических лиц. В этих и других государственных документах были определены следующие </w:t>
      </w:r>
      <w:r w:rsidRPr="0064331E">
        <w:rPr>
          <w:bCs/>
          <w:sz w:val="28"/>
          <w:szCs w:val="28"/>
        </w:rPr>
        <w:t>цели приватизации</w:t>
      </w:r>
      <w:r w:rsidRPr="0064331E">
        <w:rPr>
          <w:sz w:val="28"/>
          <w:szCs w:val="28"/>
        </w:rPr>
        <w:t>:</w:t>
      </w:r>
    </w:p>
    <w:p w:rsidR="0064331E" w:rsidRPr="0064331E" w:rsidRDefault="0064331E" w:rsidP="0064331E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обеспечение равноправия в функционировании различных форм собственности;</w:t>
      </w:r>
    </w:p>
    <w:p w:rsidR="0064331E" w:rsidRPr="0064331E" w:rsidRDefault="0064331E" w:rsidP="0064331E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демонополизация производства;</w:t>
      </w:r>
    </w:p>
    <w:p w:rsidR="0064331E" w:rsidRPr="0064331E" w:rsidRDefault="0064331E" w:rsidP="0064331E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балансировка доходов различных групп и слоев населения;</w:t>
      </w:r>
    </w:p>
    <w:p w:rsidR="0064331E" w:rsidRPr="0064331E" w:rsidRDefault="0064331E" w:rsidP="0064331E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перераспределение доходов и имущества, создание класса собственников;</w:t>
      </w:r>
    </w:p>
    <w:p w:rsidR="0064331E" w:rsidRPr="0064331E" w:rsidRDefault="0064331E" w:rsidP="0064331E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развитие фондового рынка.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Кроме того, указанным Законом и последующими нормативными документами были установлены </w:t>
      </w:r>
      <w:r w:rsidRPr="0064331E">
        <w:rPr>
          <w:bCs/>
          <w:sz w:val="28"/>
          <w:szCs w:val="28"/>
        </w:rPr>
        <w:t>способы проведения приватизации</w:t>
      </w:r>
      <w:r w:rsidRPr="0064331E">
        <w:rPr>
          <w:sz w:val="28"/>
          <w:szCs w:val="28"/>
        </w:rPr>
        <w:t>:</w:t>
      </w:r>
    </w:p>
    <w:p w:rsidR="0064331E" w:rsidRPr="0064331E" w:rsidRDefault="0064331E" w:rsidP="0064331E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продажа предприятий, а также активов ликвидированных предприятий по конкурсу;</w:t>
      </w:r>
    </w:p>
    <w:p w:rsidR="0064331E" w:rsidRPr="0064331E" w:rsidRDefault="0064331E" w:rsidP="0064331E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продажа предприятий на аукционе;</w:t>
      </w:r>
    </w:p>
    <w:p w:rsidR="0064331E" w:rsidRPr="0064331E" w:rsidRDefault="0064331E" w:rsidP="0064331E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продажа долей (акций) в капитале предприятий (акционирование);</w:t>
      </w:r>
    </w:p>
    <w:p w:rsidR="0064331E" w:rsidRPr="0064331E" w:rsidRDefault="0064331E" w:rsidP="0064331E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выкуп имущества предприятий, сданных в аренду.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bCs/>
          <w:sz w:val="28"/>
          <w:szCs w:val="28"/>
        </w:rPr>
        <w:t>Приватизация</w:t>
      </w:r>
      <w:r w:rsidRPr="0064331E">
        <w:rPr>
          <w:sz w:val="28"/>
          <w:szCs w:val="28"/>
        </w:rPr>
        <w:t xml:space="preserve"> — это процесс разгосударствления собственности на средства производства, имущество, жилье, землю, природные ресурсы. Данное явление осуществляется посредством безвозмездной передачи или распродажи объектов государственной собственности в собственность заинтересованных лиц с образованием на этой основе частной, акционерной или корпоративной собственности.</w:t>
      </w:r>
    </w:p>
    <w:p w:rsidR="0064331E" w:rsidRPr="0064331E" w:rsidRDefault="0064331E" w:rsidP="0064331E">
      <w:pPr>
        <w:spacing w:line="360" w:lineRule="auto"/>
        <w:ind w:firstLine="709"/>
        <w:jc w:val="both"/>
        <w:outlineLvl w:val="3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Задачи приватизации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Посредством приватизации государственной собственности решается множество задач: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lastRenderedPageBreak/>
        <w:t>повышение эффективности предприятий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сокращение правительственных расходов за счет налогоплательщиков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увеличение поступлений в бюджет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ликвидация или возможное уменьшение внутренней и внешней задолженности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борьба с монополиями на рынке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расширение рынка заемных капиталов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увеличение платежеспособности и инвестиций населения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привлечение сотрудников к управлению капиталом компании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сокращение профсоюзного движения</w:t>
      </w:r>
    </w:p>
    <w:p w:rsidR="0064331E" w:rsidRPr="0064331E" w:rsidRDefault="0064331E" w:rsidP="0064331E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создание обширной социальной базы мелких и средних собственников и многое другое.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 xml:space="preserve">Следовательно, основной сущностью концепции приватизации служит эффективность производства, которая подтверждает, что </w:t>
      </w:r>
      <w:r w:rsidRPr="0064331E">
        <w:rPr>
          <w:bCs/>
          <w:sz w:val="28"/>
          <w:szCs w:val="28"/>
        </w:rPr>
        <w:t>некоторые предприятия более успешно управляются частным сектором</w:t>
      </w:r>
      <w:r w:rsidRPr="0064331E">
        <w:rPr>
          <w:sz w:val="28"/>
          <w:szCs w:val="28"/>
        </w:rPr>
        <w:t>. Приватизация должна способствовать усилению конкуренции экономики страны в целом.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bookmarkStart w:id="40" w:name="a3"/>
      <w:bookmarkEnd w:id="40"/>
    </w:p>
    <w:p w:rsidR="0064331E" w:rsidRPr="0064331E" w:rsidRDefault="0064331E" w:rsidP="0064331E">
      <w:pPr>
        <w:widowControl w:val="0"/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64331E">
        <w:rPr>
          <w:b/>
          <w:bCs/>
          <w:sz w:val="28"/>
          <w:szCs w:val="28"/>
        </w:rPr>
        <w:t>5.Квазирынки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 w:rsidRPr="0064331E">
        <w:rPr>
          <w:bCs/>
          <w:sz w:val="28"/>
          <w:szCs w:val="28"/>
        </w:rPr>
        <w:t>Квазирынки</w:t>
      </w:r>
      <w:proofErr w:type="spellEnd"/>
      <w:r w:rsidRPr="0064331E">
        <w:rPr>
          <w:bCs/>
          <w:sz w:val="28"/>
          <w:szCs w:val="28"/>
        </w:rPr>
        <w:t xml:space="preserve"> – внесение рыночного элемента конкуренции между поставщиками ресурсов, товаров и услуг для государственных органов управления, а также для государственных организаций.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Конкуренция между государственными и муниципальными организациями по предоставлению общественных услуг населению.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64331E">
        <w:rPr>
          <w:sz w:val="28"/>
          <w:szCs w:val="28"/>
        </w:rPr>
        <w:t>Квазирынки</w:t>
      </w:r>
      <w:proofErr w:type="spellEnd"/>
      <w:r w:rsidRPr="0064331E">
        <w:rPr>
          <w:sz w:val="28"/>
          <w:szCs w:val="28"/>
        </w:rPr>
        <w:t xml:space="preserve">, в теории, стимулируют конкуренцию между поставщиками, которая может быть основана на лучшем качестве услуг и/или цене.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Однако</w:t>
      </w:r>
      <w:proofErr w:type="gramStart"/>
      <w:r w:rsidRPr="0064331E">
        <w:rPr>
          <w:sz w:val="28"/>
          <w:szCs w:val="28"/>
        </w:rPr>
        <w:t>,</w:t>
      </w:r>
      <w:proofErr w:type="gramEnd"/>
      <w:r w:rsidRPr="0064331E">
        <w:rPr>
          <w:sz w:val="28"/>
          <w:szCs w:val="28"/>
        </w:rPr>
        <w:t xml:space="preserve"> на практике проблемы могут возникнуть и с </w:t>
      </w:r>
      <w:proofErr w:type="spellStart"/>
      <w:r w:rsidRPr="0064331E">
        <w:rPr>
          <w:sz w:val="28"/>
          <w:szCs w:val="28"/>
        </w:rPr>
        <w:t>квазирынками</w:t>
      </w:r>
      <w:proofErr w:type="spellEnd"/>
      <w:r w:rsidRPr="0064331E">
        <w:rPr>
          <w:sz w:val="28"/>
          <w:szCs w:val="28"/>
        </w:rPr>
        <w:t xml:space="preserve">. </w:t>
      </w:r>
    </w:p>
    <w:p w:rsidR="0064331E" w:rsidRPr="0064331E" w:rsidRDefault="0064331E" w:rsidP="0064331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4331E">
        <w:rPr>
          <w:sz w:val="28"/>
          <w:szCs w:val="28"/>
        </w:rPr>
        <w:t>Например, на практике конкуренции может не быть из-за ограниченного числа поставщиков на данной территории.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lastRenderedPageBreak/>
        <w:t>Происходит формирование конкуренции за получение государственного финансирования и государственные закупки с целью повышения общей эффективности производства товаров и предоставления услуг.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64331E" w:rsidRPr="0064331E" w:rsidRDefault="0064331E" w:rsidP="0064331E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64331E">
        <w:rPr>
          <w:b/>
          <w:bCs/>
          <w:sz w:val="28"/>
          <w:szCs w:val="28"/>
        </w:rPr>
        <w:t xml:space="preserve">6 Государственное регулирование деятельности предприятий и организаций 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В качестве основных объектов и направлений регулирования государством экономики предприятий можно назвать: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—лицензирование отдельных видов деятельности;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организационно-правовые формы хозяйственной деятельности;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амортизационную политику;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оплату труда;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ценообразование;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налогообложение;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инвестиционную и инновационную деятельность;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стимулирование внешнеэкономической деятельности предприятий;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— условия охраны труда и требования экологической безопасности.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Организационно-правовая форма определяет порядок первоначального создания имущества предприятия, процесс использования полученной прибыли, характер отношений между собственниками. Это форма юридической регистрации предприятия, создающая ему определенный правовой статус.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Посредством регулирования амортизационной политики предприятий (регламентации способов и методов начисления амортизации, возможностей применения ускоренной амортизации) государство оказывает влияние на" процессы воспроизводства основных средств и нематериальных активов, темпы их обновления, структуру, создание внутренних источников финансирования.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 xml:space="preserve">Государственное регулирование оплаты труда персонала предприятий направлено на установление и обеспечение соблюдения минимальных гарантий по уровню заработной платы, обеспечение достаточного уровня жизни работников и их семей, сохранение покупательной способности населения. В </w:t>
      </w:r>
      <w:r w:rsidRPr="0064331E">
        <w:rPr>
          <w:bCs/>
          <w:sz w:val="28"/>
          <w:szCs w:val="28"/>
        </w:rPr>
        <w:lastRenderedPageBreak/>
        <w:t>качестве основных инструментов государственного регулирования оплаты труда выступают социальные нормативы в данной области (минимальная заработная плата, минимальный потребительский бюджет, прожиточный минимум) и тарифная система, обеспечивающая определение и дифференциацию уровня оплаты труда в зависимости от квалификации, условий, тяжести труда, степени ответственности при выполнении работ.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Ценообразование как инструмент государственного регулирования оказывает влияние на пропорции экономического и социального развития, определяет уровень конкурентоспособности продукции предприятий, формирование их дохода.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Регулирование и контроль цен, в первую очередь, связано с ограничением монополистической деятельности и обеспечением выпуска социально значимых товаров и услуг.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Налоговые регуляторы в виде различных видов налоговых платежей, объектов налогообложения и субъектов платежей, источников и ставок налогов, льгот и санкций, сроков и способов уплаты непосредственно оказывают влияние на пропорции распределения доходов и прибыли предприятий, создание собственных источников роста и развития.</w:t>
      </w:r>
    </w:p>
    <w:p w:rsidR="0064331E" w:rsidRPr="0064331E" w:rsidRDefault="0064331E" w:rsidP="0064331E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4331E">
        <w:rPr>
          <w:bCs/>
          <w:sz w:val="28"/>
          <w:szCs w:val="28"/>
        </w:rPr>
        <w:t>Государственное регулирование инвестиционной деятельности предприятий, которое может осуществляться в форме прямого участия государства в данном процессе и путем создания благоприятных условий для него, направлено на обеспечение роста конкурентоспособности отечественных товаропроизводителей. Формы как прямого, так и косвенного государственного регулирования инвестиционной деятельности позволяют расширить возможности предприятий по привлечению и осуществлению инвестиций в активы предприятия.</w:t>
      </w:r>
    </w:p>
    <w:sectPr w:rsidR="0064331E" w:rsidRPr="0064331E" w:rsidSect="00E135AC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B54" w:rsidRDefault="00BD3B54" w:rsidP="00E135AC">
      <w:r>
        <w:separator/>
      </w:r>
    </w:p>
  </w:endnote>
  <w:endnote w:type="continuationSeparator" w:id="0">
    <w:p w:rsidR="00BD3B54" w:rsidRDefault="00BD3B54" w:rsidP="00E1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0995080"/>
      <w:docPartObj>
        <w:docPartGallery w:val="Page Numbers (Bottom of Page)"/>
        <w:docPartUnique/>
      </w:docPartObj>
    </w:sdtPr>
    <w:sdtEndPr/>
    <w:sdtContent>
      <w:p w:rsidR="00E135AC" w:rsidRDefault="00E135A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235">
          <w:rPr>
            <w:noProof/>
          </w:rPr>
          <w:t>1</w:t>
        </w:r>
        <w:r>
          <w:fldChar w:fldCharType="end"/>
        </w:r>
      </w:p>
    </w:sdtContent>
  </w:sdt>
  <w:p w:rsidR="00E135AC" w:rsidRDefault="00E135A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B54" w:rsidRDefault="00BD3B54" w:rsidP="00E135AC">
      <w:r>
        <w:separator/>
      </w:r>
    </w:p>
  </w:footnote>
  <w:footnote w:type="continuationSeparator" w:id="0">
    <w:p w:rsidR="00BD3B54" w:rsidRDefault="00BD3B54" w:rsidP="00E13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34E73"/>
    <w:multiLevelType w:val="hybridMultilevel"/>
    <w:tmpl w:val="9D80CD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AE773F"/>
    <w:multiLevelType w:val="hybridMultilevel"/>
    <w:tmpl w:val="F1B09116"/>
    <w:lvl w:ilvl="0" w:tplc="43D4A28A">
      <w:start w:val="1"/>
      <w:numFmt w:val="decimal"/>
      <w:lvlText w:val="%1)"/>
      <w:lvlJc w:val="left"/>
      <w:pPr>
        <w:ind w:left="1976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34734D"/>
    <w:multiLevelType w:val="hybridMultilevel"/>
    <w:tmpl w:val="3F1A5AB2"/>
    <w:lvl w:ilvl="0" w:tplc="D29C3036">
      <w:start w:val="1"/>
      <w:numFmt w:val="decimal"/>
      <w:lvlText w:val="%1."/>
      <w:lvlJc w:val="left"/>
      <w:pPr>
        <w:ind w:left="2149" w:hanging="360"/>
      </w:pPr>
      <w:rPr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F933FD"/>
    <w:multiLevelType w:val="multilevel"/>
    <w:tmpl w:val="81A41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59383B"/>
    <w:multiLevelType w:val="multilevel"/>
    <w:tmpl w:val="C1E4E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F511C3"/>
    <w:multiLevelType w:val="hybridMultilevel"/>
    <w:tmpl w:val="120825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0EC3092"/>
    <w:multiLevelType w:val="multilevel"/>
    <w:tmpl w:val="FF16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344EBF"/>
    <w:multiLevelType w:val="hybridMultilevel"/>
    <w:tmpl w:val="60947F0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86D640D"/>
    <w:multiLevelType w:val="hybridMultilevel"/>
    <w:tmpl w:val="092411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5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C2"/>
    <w:rsid w:val="0064331E"/>
    <w:rsid w:val="00734F3B"/>
    <w:rsid w:val="007A02C2"/>
    <w:rsid w:val="00815B28"/>
    <w:rsid w:val="0093373F"/>
    <w:rsid w:val="00BD3B54"/>
    <w:rsid w:val="00E04235"/>
    <w:rsid w:val="00E1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815B28"/>
    <w:pPr>
      <w:spacing w:before="100" w:beforeAutospacing="1" w:after="100" w:afterAutospacing="1"/>
    </w:pPr>
  </w:style>
  <w:style w:type="character" w:customStyle="1" w:styleId="submenu-table">
    <w:name w:val="submenu-table"/>
    <w:basedOn w:val="a0"/>
    <w:rsid w:val="0064331E"/>
  </w:style>
  <w:style w:type="character" w:customStyle="1" w:styleId="butback">
    <w:name w:val="butback"/>
    <w:basedOn w:val="a0"/>
    <w:rsid w:val="0064331E"/>
  </w:style>
  <w:style w:type="paragraph" w:styleId="a5">
    <w:name w:val="header"/>
    <w:basedOn w:val="a"/>
    <w:link w:val="a6"/>
    <w:uiPriority w:val="99"/>
    <w:unhideWhenUsed/>
    <w:rsid w:val="00E135A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135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135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135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135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35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815B28"/>
    <w:pPr>
      <w:spacing w:before="100" w:beforeAutospacing="1" w:after="100" w:afterAutospacing="1"/>
    </w:pPr>
  </w:style>
  <w:style w:type="character" w:customStyle="1" w:styleId="submenu-table">
    <w:name w:val="submenu-table"/>
    <w:basedOn w:val="a0"/>
    <w:rsid w:val="0064331E"/>
  </w:style>
  <w:style w:type="character" w:customStyle="1" w:styleId="butback">
    <w:name w:val="butback"/>
    <w:basedOn w:val="a0"/>
    <w:rsid w:val="0064331E"/>
  </w:style>
  <w:style w:type="paragraph" w:styleId="a5">
    <w:name w:val="header"/>
    <w:basedOn w:val="a"/>
    <w:link w:val="a6"/>
    <w:uiPriority w:val="99"/>
    <w:unhideWhenUsed/>
    <w:rsid w:val="00E135A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135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135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135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135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35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1873</Words>
  <Characters>10679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2023-02-12T12:50:00Z</cp:lastPrinted>
  <dcterms:created xsi:type="dcterms:W3CDTF">2020-03-18T05:07:00Z</dcterms:created>
  <dcterms:modified xsi:type="dcterms:W3CDTF">2023-12-13T06:02:00Z</dcterms:modified>
</cp:coreProperties>
</file>