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395" w:rsidRDefault="00A97395" w:rsidP="00A9739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Тема 6.  Инвестиции  и  их  роль  в  воспроизводстве  основного  капитала</w:t>
      </w: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  <w:r>
        <w:t>1. Сущность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  <w:r>
        <w:t>2. Источники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  <w:r>
        <w:t>3. Дисконтирование стоимости инвестиций и доходов.</w:t>
      </w: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  <w:r>
        <w:t>4. Показатели эффективности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center"/>
        <w:rPr>
          <w:b/>
          <w:bCs/>
        </w:rPr>
      </w:pPr>
      <w:r>
        <w:rPr>
          <w:b/>
        </w:rPr>
        <w:t>1.</w:t>
      </w:r>
      <w:r>
        <w:t xml:space="preserve"> </w:t>
      </w:r>
      <w:r>
        <w:rPr>
          <w:b/>
          <w:bCs/>
        </w:rPr>
        <w:t>Сущность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Эффективность развития экономики страны, ее отдельных отраслей и  предприятий во многом зависит от характера инвестиционной политики в ее направленности на наиболее полное и рациональное использование всех видов ресурсов. Инвестиционная  политика определяет наиболее приоритетные направления капиталовложений, от которых зависит повышение эффективности экономики и обеспечение наибольшего прироста продукции.   </w:t>
      </w:r>
      <w:r>
        <w:rPr>
          <w:u w:val="single"/>
        </w:rPr>
        <w:t>Основная цель</w:t>
      </w:r>
      <w:r>
        <w:t xml:space="preserve"> современной инвестиционной политики - перевод экономики на интенсивный путь развития с сокращением затрат на экстенсивную роль производственного потенциала, т.е. сокращение нового строительства.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>Инвестиции</w:t>
      </w:r>
      <w:r>
        <w:t xml:space="preserve"> - долгосрочные вложения средств в целях создания новых и реконструкции действующих предприятий, освоение новейшей техники и технологий, увеличение объемов производства и прибыли предприятия.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Виды инвестиций: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1. Реальные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2. Финансовые (портфельные)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3. Инвестиции в нематериальные активы.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К реальным инвестициям относят затраты на приобретение ОК и увеличение материально-производственных запасов. Результатами реального инвестирования является: замена устаревшего оборудования на новое, расширение действующих или создание новых предприятий.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К финансовым инвестициям относят приобретение инвестором акций, облигаций и других ценных бумаг, выпущенных частными организациями и государством с целью получения прибыли.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Инвестиции в нематериальные активы - вложение денежных средств в научные исследования, приобретение лицензий на испытание новых технологий, повышение квалифицированных работников и т.д.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Инвестиции также делятся на: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smartTag w:uri="urn:schemas-microsoft-com:office:smarttags" w:element="place">
        <w:r>
          <w:rPr>
            <w:lang w:val="en-US"/>
          </w:rPr>
          <w:t>I</w:t>
        </w:r>
        <w:r>
          <w:t>.</w:t>
        </w:r>
      </w:smartTag>
      <w:r>
        <w:t xml:space="preserve">  Материальные, нематериальные.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II</w:t>
      </w:r>
      <w:r>
        <w:t>.  Государственные,частные.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III</w:t>
      </w:r>
      <w:r>
        <w:t>.  Внутренние,внешние.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IV</w:t>
      </w:r>
      <w:r>
        <w:t>.  Собственные,заемные.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center"/>
      </w:pPr>
      <w:r>
        <w:rPr>
          <w:b/>
          <w:bCs/>
        </w:rPr>
        <w:t>2. Источники инвестиций</w:t>
      </w:r>
      <w:r>
        <w:t>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Источники инвестиций делятся на 3 группы: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- внутренние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- внешние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- бюджетные.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В связи разгосударствлением экономики и возникновением предприятий негосударственных форм собственности в последнее время произошли существенные изменения в источниках финансирования инвестиций. Большую часть инвестиций стали осуществлять сами промышленные предприятия. Доля государственных инвестиций резко сократилась и они в основном осуществляются только при организации крупных инвестиционных проектов, которые имеют большое значение для развития народного </w:t>
      </w:r>
      <w:r>
        <w:lastRenderedPageBreak/>
        <w:t xml:space="preserve">хозяйства в целом.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К внутренним источникам </w:t>
      </w:r>
      <w:r>
        <w:t xml:space="preserve"> инвестиций относятся - амортизационный фонд,нераспределенная чистая прибыль, налоговые отсрочки и дотации. </w:t>
      </w:r>
      <w:r>
        <w:rPr>
          <w:u w:val="single"/>
        </w:rPr>
        <w:t xml:space="preserve">К внешним источникам </w:t>
      </w:r>
      <w:r>
        <w:t xml:space="preserve"> относятся - заемные и привлекаемые финансовые ресурсы. Заемные - это банковские и бюджетные кредиты, привлекаемые - это средства, получаемые от продажи акций, паевые и другие взносы членов трудового коллектива либо сторонних физических и юридических лиц. Бюджетные источники - инвестиции государства.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</w:t>
      </w:r>
      <w:r>
        <w:tab/>
        <w:t xml:space="preserve"> Мировая практика свидетельствует, что подавляющая часть инвестиций привлекается из внешнего источника (ОК 60 % ), 30-35 % - из внутренних источников и 5-10 % из бюджета. Длительное время основными источниками инвестиций в РБ были капитальные вложения из государственного бюджета и амортизационного фонда. В последние годы большую роль начинают играть кредиты банков и поставщиков, а так же средства акционеров. Инвестиции акционеров - это прямые вложения средств населения в акции предприятия с целью получения доходов в будущем в виде  </w:t>
      </w:r>
      <w:r>
        <w:rPr>
          <w:u w:val="single"/>
        </w:rPr>
        <w:t>дивидендов</w:t>
      </w:r>
      <w:r>
        <w:t xml:space="preserve">. 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К Собственным средствам предприятий относятся 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- фонд накопления, который является основным источником инвестирования и создается за счет прибыли и амортизационных отчислений. В настоящее время отчисления в фонд накопления производятся незначительные. Это связано с тем, что на государственных предприятиях интересы государства как собственника и интересы  наемного трудового коллектива не совпадают. Государство как собственник заинтересованно в повышении своей собственности, т.е. фонда накопления, а наемный трудовой коллектив заинтересован в повышении фонда потребления. Разрешение данного противоречия может быть осуществлено посредством нормативных показателей, которые позволяли бы регулировать соотношение прибыли между фондами накопления и потребления.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Средства фонда накопления используется предприятием самостоятельно по смете (состав расходов ), проект которой выносится на обсуждение трудового коллектива и после обсуждения утверждается руководством. Из фонда накопления осуществляется погашение долгосрочных кредитов банка на приобретение оборудования, а так же финансируется подготовка и освоение новой и модернизируемой продукции.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center"/>
      </w:pPr>
      <w:r>
        <w:rPr>
          <w:b/>
          <w:bCs/>
        </w:rPr>
        <w:t>3. Дисконтирование  стоимости  инвестиций  и  доходов</w:t>
      </w:r>
      <w:r>
        <w:t>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Для определения эффективности вложения инвестиции в ОК необходимо в первую очередь привести в сопоставимый вид денежные потоки. Денежные потоки - это поступления и расходование денег в различные моменты времени.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Например, </w:t>
      </w:r>
      <w:r>
        <w:t>имеются варианты денежных потоков инвестиционного проекта: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1.Вариант : -100; -150; +50; +100; +150; +200.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2. Вариант : -200; -50; +150; +50; +200; +100.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Знак (-) означает денежные затраты, т.е. инвестиции, (+) - денежные поступления доходов от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Эти варианты существенно различаются между собой. В связи с тем, что сроки осуществления инвестиционных проектов длительные, а инвестиции и получение доходов по годам осуществляется неравномерно, необходимо привести денежные потоки в сопоставимый вид и к единому моменту времени. Процесс приведения денежных потоков к единому моменту времени с  учетом фактора времени называется </w:t>
      </w:r>
      <w:r>
        <w:rPr>
          <w:u w:val="single"/>
        </w:rPr>
        <w:t>дисконтированием.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Приведение инвестиций и доходов к начальному периоду инвестиционного проекта дает нам </w:t>
      </w:r>
      <w:r>
        <w:rPr>
          <w:u w:val="single"/>
        </w:rPr>
        <w:t>современную дисконтированную стоимость</w:t>
      </w:r>
      <w:r>
        <w:t xml:space="preserve">. Приведение инвестиций и доходов к окончанию периода инвестиции дает </w:t>
      </w:r>
      <w:r>
        <w:rPr>
          <w:u w:val="single"/>
        </w:rPr>
        <w:t>будущую дисконтированную стоимость</w:t>
      </w:r>
      <w:r>
        <w:t xml:space="preserve">.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Для расчета дисконтированной стоимости применяется коэффициент дисконтирования 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360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  <w:lang w:val="en-US"/>
        </w:rPr>
        <w:t>t</w:t>
      </w:r>
      <w:r>
        <w:t xml:space="preserve"> = 1/(1+</w:t>
      </w:r>
      <w:r>
        <w:rPr>
          <w:lang w:val="en-US"/>
        </w:rPr>
        <w:t>C</w:t>
      </w:r>
      <w:r>
        <w:rPr>
          <w:vertAlign w:val="subscript"/>
        </w:rPr>
        <w:t>д</w:t>
      </w:r>
      <w:r>
        <w:t>)</w:t>
      </w:r>
      <w:r>
        <w:rPr>
          <w:vertAlign w:val="superscript"/>
          <w:lang w:val="en-US"/>
        </w:rPr>
        <w:t>t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Сд - ставка дисконтирования, выраженная в долях единицы.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t</w:t>
      </w:r>
      <w:r>
        <w:t xml:space="preserve"> - год вложения инвестиций или получения дохода.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Сд  принимается на уровне фактической ставки процента по долгосрочным кредитам банка.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В некоторых случаях может учитыватся надбавка за риск, которая добавляется к Сд.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  <w:rPr>
          <w:u w:val="single"/>
        </w:rPr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>Пример.</w:t>
      </w:r>
      <w:r>
        <w:t xml:space="preserve">  Ставка дисконтировая Сд  = 10%.</w:t>
      </w:r>
    </w:p>
    <w:tbl>
      <w:tblPr>
        <w:tblpPr w:leftFromText="180" w:rightFromText="180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7"/>
        <w:gridCol w:w="1612"/>
        <w:gridCol w:w="1610"/>
        <w:gridCol w:w="1548"/>
        <w:gridCol w:w="1625"/>
        <w:gridCol w:w="1619"/>
      </w:tblGrid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Год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И,тыс.руб.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Д,тыс.руб.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К</w:t>
            </w:r>
            <w:r>
              <w:rPr>
                <w:vertAlign w:val="subscript"/>
              </w:rPr>
              <w:t>д</w:t>
            </w:r>
            <w:r>
              <w:rPr>
                <w:vertAlign w:val="superscript"/>
                <w:lang w:val="en-US"/>
              </w:rPr>
              <w:t>t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Ид,тыс.руб.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Д</w:t>
            </w:r>
            <w:r>
              <w:rPr>
                <w:vertAlign w:val="subscript"/>
              </w:rPr>
              <w:t>д</w:t>
            </w:r>
            <w:r>
              <w:t>,тыс.руб.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0.909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-90.9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136.35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0.826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82.6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+100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0.751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-150.2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75.1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0.684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13.68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0.602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18.06</w:t>
            </w:r>
          </w:p>
        </w:tc>
      </w:tr>
      <w:tr w:rsidR="00A97395" w:rsidTr="00A97395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Итого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-300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+400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-241.1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395" w:rsidRDefault="00A97395">
            <w:pPr>
              <w:widowControl w:val="0"/>
              <w:autoSpaceDE w:val="0"/>
              <w:autoSpaceDN w:val="0"/>
              <w:adjustRightInd w:val="0"/>
              <w:ind w:firstLine="360"/>
              <w:jc w:val="both"/>
            </w:pPr>
            <w:r>
              <w:t>326.39</w:t>
            </w:r>
          </w:p>
        </w:tc>
      </w:tr>
    </w:tbl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Ид - дисконтированная инвестиция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  <w:rPr>
          <w:lang w:val="en-US"/>
        </w:rPr>
      </w:pPr>
      <w:r>
        <w:t>К</w:t>
      </w:r>
      <w:r>
        <w:rPr>
          <w:vertAlign w:val="subscript"/>
        </w:rPr>
        <w:t>д</w:t>
      </w:r>
      <w:r>
        <w:rPr>
          <w:vertAlign w:val="superscript"/>
          <w:lang w:val="en-US"/>
        </w:rPr>
        <w:t xml:space="preserve">I </w:t>
      </w:r>
      <w:r>
        <w:t>=</w:t>
      </w:r>
      <w:r>
        <w:rPr>
          <w:lang w:val="en-US"/>
        </w:rPr>
        <w:t>1/(1+0</w:t>
      </w:r>
      <w:r>
        <w:t>.1)</w:t>
      </w:r>
      <w:r>
        <w:rPr>
          <w:vertAlign w:val="superscript"/>
          <w:lang w:val="en-US"/>
        </w:rPr>
        <w:t>I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Определение современных стоимостных инвестиций и доходов при Сд =10%.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</w:rPr>
        <w:t>1</w:t>
      </w:r>
      <w:r>
        <w:t>=1/(1+0.1)</w:t>
      </w:r>
      <w:r>
        <w:rPr>
          <w:vertAlign w:val="superscript"/>
        </w:rPr>
        <w:t>1</w:t>
      </w:r>
      <w:r>
        <w:t>=0.909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</w:rPr>
        <w:t>2</w:t>
      </w:r>
      <w:r>
        <w:t>=1/(1+0.1)</w:t>
      </w:r>
      <w:r>
        <w:rPr>
          <w:vertAlign w:val="superscript"/>
        </w:rPr>
        <w:t>2</w:t>
      </w:r>
      <w:r>
        <w:t>=0.826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</w:rPr>
        <w:t>3</w:t>
      </w:r>
      <w:r>
        <w:t>=1/(1+0.1)</w:t>
      </w:r>
      <w:r>
        <w:rPr>
          <w:vertAlign w:val="superscript"/>
        </w:rPr>
        <w:t>3</w:t>
      </w:r>
      <w:r>
        <w:t>=0.751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</w:rPr>
        <w:t>4</w:t>
      </w:r>
      <w:r>
        <w:t>=1/(1+0.1)</w:t>
      </w:r>
      <w:r>
        <w:rPr>
          <w:vertAlign w:val="superscript"/>
        </w:rPr>
        <w:t>4</w:t>
      </w:r>
      <w:r>
        <w:t>=0.684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К</w:t>
      </w:r>
      <w:r>
        <w:rPr>
          <w:vertAlign w:val="subscript"/>
        </w:rPr>
        <w:t>д</w:t>
      </w:r>
      <w:r>
        <w:rPr>
          <w:vertAlign w:val="superscript"/>
        </w:rPr>
        <w:t>5</w:t>
      </w:r>
      <w:r>
        <w:t>=1/(1+0.1)</w:t>
      </w:r>
      <w:r>
        <w:rPr>
          <w:vertAlign w:val="superscript"/>
        </w:rPr>
        <w:t>5</w:t>
      </w:r>
      <w:r>
        <w:t>=0.602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  <w:rPr>
          <w:vertAlign w:val="superscript"/>
        </w:rPr>
      </w:pPr>
      <w:r>
        <w:t>Ид =И*К</w:t>
      </w:r>
      <w:r>
        <w:rPr>
          <w:vertAlign w:val="subscript"/>
        </w:rPr>
        <w:t>д</w:t>
      </w:r>
      <w:r>
        <w:rPr>
          <w:vertAlign w:val="superscript"/>
          <w:lang w:val="en-US"/>
        </w:rPr>
        <w:t>t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880" w:firstLine="360"/>
        <w:jc w:val="both"/>
      </w:pPr>
      <w:r>
        <w:t>Дд =Д* К</w:t>
      </w:r>
      <w:r>
        <w:rPr>
          <w:vertAlign w:val="subscript"/>
        </w:rPr>
        <w:t>д</w:t>
      </w:r>
      <w:r>
        <w:rPr>
          <w:vertAlign w:val="superscript"/>
          <w:lang w:val="en-US"/>
        </w:rPr>
        <w:t>t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160" w:firstLine="360"/>
        <w:jc w:val="both"/>
      </w:pPr>
      <w:r>
        <w:t>ЧДД = 326,39 - 241,1 = 85,29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left="2160" w:firstLine="360"/>
        <w:jc w:val="both"/>
      </w:pPr>
      <w:r>
        <w:t>Т</w:t>
      </w:r>
      <w:r>
        <w:rPr>
          <w:vertAlign w:val="subscript"/>
        </w:rPr>
        <w:t>ок</w:t>
      </w:r>
      <w:r>
        <w:rPr>
          <w:vertAlign w:val="superscript"/>
        </w:rPr>
        <w:t xml:space="preserve">ср </w:t>
      </w:r>
      <w:r>
        <w:t>= 241.1/(326.39/5)=3.7года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left="2160" w:firstLine="360"/>
        <w:jc w:val="both"/>
      </w:pPr>
    </w:p>
    <w:p w:rsidR="00A97395" w:rsidRDefault="00A97395" w:rsidP="00A97395">
      <w:pPr>
        <w:pStyle w:val="1"/>
        <w:ind w:left="2160" w:firstLine="360"/>
        <w:jc w:val="both"/>
        <w:rPr>
          <w:szCs w:val="24"/>
        </w:rPr>
      </w:pPr>
      <w:r>
        <w:rPr>
          <w:szCs w:val="24"/>
        </w:rPr>
        <w:t>Ри= 326.39/241.1=1.35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При принятии решении об эффективности инвестиций необходимо проводить долгосрочный анализ затрат и доходов. Расчет ведется по следующим показателям: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1. </w:t>
      </w:r>
      <w:r>
        <w:rPr>
          <w:u w:val="single"/>
        </w:rPr>
        <w:t>Величина инвестиций</w:t>
      </w:r>
      <w:r>
        <w:t>, которая включает в себя затраты на приобретение оборудования, транспортировку, монтаж, наладку и т.д.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2. </w:t>
      </w:r>
      <w:r>
        <w:rPr>
          <w:u w:val="single"/>
        </w:rPr>
        <w:t>Ликвидационная стоимость</w:t>
      </w:r>
      <w:r>
        <w:t>, которую необходимо вычесть из инвестиционных затрат.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3. </w:t>
      </w:r>
      <w:r>
        <w:rPr>
          <w:u w:val="single"/>
        </w:rPr>
        <w:t>Срок функционирования объекта</w:t>
      </w:r>
      <w:r>
        <w:t xml:space="preserve">, который зависит от физического и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морального износа.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4. </w:t>
      </w:r>
      <w:r>
        <w:rPr>
          <w:u w:val="single"/>
        </w:rPr>
        <w:t>Влияние инвестиций на величину эксплуатационных издержек</w:t>
      </w:r>
      <w:r>
        <w:t>, которое выражается в их снижении вследствие совершенствования технологического процесса и внедрение нового оборудования.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center"/>
        <w:rPr>
          <w:b/>
          <w:bCs/>
        </w:rPr>
      </w:pPr>
      <w:r>
        <w:rPr>
          <w:b/>
          <w:bCs/>
        </w:rPr>
        <w:lastRenderedPageBreak/>
        <w:t>4. Показатели  эффективности  инвестиций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При оценке эффективности различных вариантов долгосрочных инвестиций и выборе наиболее целесообразного варианта в мировой практике используют следующие показатели: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1. Чистый дисконтированный доход  (ЧДД).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2. Внутренняя норма доходности (ВНД).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3. Срок окупаемости (Ток).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4. Рентабельность инвестиций (Ри).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Из выше перечисленных показателей один принимается в качестве основного, другие как дополнительные.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В качестве основного показателя наибольшее распределение получил ЧПД, который характеризует абсолютный результат инвестиционной деятельности и определяется как разность дисконтированных на один момент времени дохода и инвестиции.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  <w:rPr>
          <w:lang w:val="en-US"/>
        </w:rPr>
      </w:pPr>
      <w:r>
        <w:rPr>
          <w:position w:val="-32"/>
        </w:rPr>
        <w:object w:dxaOrig="31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5.7pt;height:36pt" o:ole="">
            <v:imagedata r:id="rId6" o:title=""/>
          </v:shape>
          <o:OLEObject Type="Embed" ProgID="Equation.3" ShapeID="_x0000_i1025" DrawAspect="Content" ObjectID="_1697629324" r:id="rId7"/>
        </w:objec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Д</w:t>
      </w:r>
      <w:r>
        <w:rPr>
          <w:vertAlign w:val="superscript"/>
          <w:lang w:val="en-US"/>
        </w:rPr>
        <w:t>t</w:t>
      </w:r>
      <w:r>
        <w:t xml:space="preserve">, И </w:t>
      </w:r>
      <w:r>
        <w:rPr>
          <w:vertAlign w:val="superscript"/>
          <w:lang w:val="en-US"/>
        </w:rPr>
        <w:t>t</w:t>
      </w:r>
      <w:r>
        <w:t xml:space="preserve"> - доход, инвестиции в году  </w:t>
      </w:r>
      <w:r>
        <w:rPr>
          <w:lang w:val="en-US"/>
        </w:rPr>
        <w:t>t</w:t>
      </w:r>
      <w:r>
        <w:t>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lang w:val="en-US"/>
        </w:rPr>
        <w:t>n</w:t>
      </w:r>
      <w:r>
        <w:t xml:space="preserve"> - количество лет жизни проекта.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Если величина ЧДД положительна, то вложение инвестиции выгодно.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pStyle w:val="a3"/>
        <w:ind w:firstLine="360"/>
        <w:jc w:val="both"/>
      </w:pPr>
      <w:r>
        <w:t>ВНД - это расчетная ставка процента, при которой полученный доход от проекта равен вложенным инвестициям.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position w:val="-30"/>
        </w:rPr>
        <w:object w:dxaOrig="3960" w:dyaOrig="720">
          <v:shape id="_x0000_i1026" type="#_x0000_t75" style="width:198.4pt;height:36pt" o:ole="">
            <v:imagedata r:id="rId8" o:title=""/>
          </v:shape>
          <o:OLEObject Type="Embed" ProgID="Equation.3" ShapeID="_x0000_i1026" DrawAspect="Content" ObjectID="_1697629325" r:id="rId9"/>
        </w:objec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С</w:t>
      </w:r>
      <w:r>
        <w:rPr>
          <w:vertAlign w:val="superscript"/>
          <w:lang w:val="en-US"/>
        </w:rPr>
        <w:t>I</w:t>
      </w:r>
      <w:r>
        <w:t>,С</w:t>
      </w:r>
      <w:r>
        <w:rPr>
          <w:vertAlign w:val="superscript"/>
          <w:lang w:val="en-US"/>
        </w:rPr>
        <w:t>II</w:t>
      </w:r>
      <w:r>
        <w:t xml:space="preserve"> - ставка процента соответственно более низкая и более высокая.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ЧДД</w:t>
      </w:r>
      <w:r>
        <w:rPr>
          <w:lang w:val="en-US"/>
        </w:rPr>
        <w:t>c</w:t>
      </w:r>
      <w:r>
        <w:rPr>
          <w:vertAlign w:val="superscript"/>
          <w:lang w:val="en-US"/>
        </w:rPr>
        <w:t>I</w:t>
      </w:r>
      <w:r>
        <w:t>, ЧДД</w:t>
      </w:r>
      <w:r>
        <w:rPr>
          <w:lang w:val="en-US"/>
        </w:rPr>
        <w:t>c</w:t>
      </w:r>
      <w:r>
        <w:rPr>
          <w:vertAlign w:val="superscript"/>
          <w:lang w:val="en-US"/>
        </w:rPr>
        <w:t>II</w:t>
      </w:r>
      <w:r>
        <w:t xml:space="preserve"> - ЧДД при более низкой и более высокой ставке ставке процента.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Расчет ВНД выполняется в следующей последовательности:</w:t>
      </w:r>
    </w:p>
    <w:p w:rsidR="00A97395" w:rsidRDefault="00A97395" w:rsidP="00A97395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firstLine="360"/>
        <w:jc w:val="both"/>
      </w:pPr>
      <w:r>
        <w:t>Оценивается ставка дисконтирования.</w:t>
      </w:r>
    </w:p>
    <w:p w:rsidR="00A97395" w:rsidRDefault="00A97395" w:rsidP="00A97395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firstLine="360"/>
        <w:jc w:val="both"/>
      </w:pPr>
      <w:r>
        <w:t>Рассчитывается ЧДД. Если ЧДД (+), то выбирается большая ставка процента, если ЧДД (-), то меньшая ставка процента.</w:t>
      </w:r>
    </w:p>
    <w:p w:rsidR="00A97395" w:rsidRDefault="00A97395" w:rsidP="00A97395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firstLine="360"/>
        <w:jc w:val="both"/>
      </w:pPr>
      <w:r>
        <w:t>ЧДД пересчитывается до тех пор, пока значение не изменит знак.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То значение процента, при котором ЧДД = 0, является ВНД проекта.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Ток - характеризует привлекательность инвестиций с точки зрения времени возвращения денежных средств и измеряется количеством лет.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Различают средний Ток и действительный Ток.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Средний Ток - это отношение Ид к среднему ежегодному Дд.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position w:val="-64"/>
        </w:rPr>
        <w:object w:dxaOrig="2865" w:dyaOrig="1395">
          <v:shape id="_x0000_i1027" type="#_x0000_t75" style="width:143.15pt;height:69.5pt" o:ole="">
            <v:imagedata r:id="rId10" o:title=""/>
          </v:shape>
          <o:OLEObject Type="Embed" ProgID="Equation.3" ShapeID="_x0000_i1027" DrawAspect="Content" ObjectID="_1697629326" r:id="rId11"/>
        </w:objec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Действительный Ток - определяется путем последовательного вычитания дохода из инвестиций и подсчетом времени до тех пор, пока сумма дохода не окажется равной сумме инвестиций.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Ри - отношение дисконтирования дохода к дисконтированию инвестициям.</w: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position w:val="-64"/>
        </w:rPr>
        <w:object w:dxaOrig="1755" w:dyaOrig="1395">
          <v:shape id="_x0000_i1028" type="#_x0000_t75" style="width:87.9pt;height:69.5pt" o:ole="">
            <v:imagedata r:id="rId12" o:title=""/>
          </v:shape>
          <o:OLEObject Type="Embed" ProgID="Equation.3" ShapeID="_x0000_i1028" DrawAspect="Content" ObjectID="_1697629327" r:id="rId13"/>
        </w:object>
      </w:r>
    </w:p>
    <w:p w:rsidR="00A97395" w:rsidRDefault="00A97395" w:rsidP="00A97395">
      <w:pPr>
        <w:widowControl w:val="0"/>
        <w:autoSpaceDE w:val="0"/>
        <w:autoSpaceDN w:val="0"/>
        <w:adjustRightInd w:val="0"/>
        <w:ind w:firstLine="360"/>
        <w:jc w:val="both"/>
      </w:pPr>
      <w:r>
        <w:t>Перечисленные показатели эффективности инвестиций рекомендованы для использования в РБ (при разработке бизнес – планов).</w:t>
      </w:r>
    </w:p>
    <w:p w:rsidR="001A6E6B" w:rsidRPr="00A97395" w:rsidRDefault="001A6E6B" w:rsidP="00A97395">
      <w:pPr>
        <w:ind w:firstLine="709"/>
        <w:jc w:val="both"/>
      </w:pPr>
      <w:bookmarkStart w:id="0" w:name="_GoBack"/>
      <w:bookmarkEnd w:id="0"/>
    </w:p>
    <w:sectPr w:rsidR="001A6E6B" w:rsidRPr="00A97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27E1"/>
    <w:multiLevelType w:val="singleLevel"/>
    <w:tmpl w:val="8732FC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307"/>
    <w:rsid w:val="001A6E6B"/>
    <w:rsid w:val="00730307"/>
    <w:rsid w:val="00A9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7395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739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A9739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973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7395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739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A9739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973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0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8104</Characters>
  <Application>Microsoft Office Word</Application>
  <DocSecurity>0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2021-11-05T11:55:00Z</dcterms:created>
  <dcterms:modified xsi:type="dcterms:W3CDTF">2021-11-05T11:55:00Z</dcterms:modified>
</cp:coreProperties>
</file>