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7C12" w:rsidRDefault="00F17C12" w:rsidP="0009631A">
      <w:pPr>
        <w:widowControl w:val="0"/>
        <w:autoSpaceDE w:val="0"/>
        <w:autoSpaceDN w:val="0"/>
        <w:adjustRightInd w:val="0"/>
        <w:spacing w:after="0" w:line="36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Семинарское занятие № 8</w:t>
      </w:r>
    </w:p>
    <w:p w:rsidR="003E24C3" w:rsidRDefault="003E24C3" w:rsidP="00F17C12">
      <w:pPr>
        <w:widowControl w:val="0"/>
        <w:numPr>
          <w:ilvl w:val="0"/>
          <w:numId w:val="1"/>
        </w:numPr>
        <w:tabs>
          <w:tab w:val="left" w:pos="192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2F689A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Средства обеспечения коррекционно-развивающего обучения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2F689A" w:rsidTr="002F689A">
        <w:tc>
          <w:tcPr>
            <w:tcW w:w="4672" w:type="dxa"/>
          </w:tcPr>
          <w:p w:rsidR="002F689A" w:rsidRDefault="002F689A" w:rsidP="002F689A">
            <w:pPr>
              <w:widowControl w:val="0"/>
              <w:tabs>
                <w:tab w:val="left" w:pos="1920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</w:pPr>
            <w:r w:rsidRPr="006406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Средства обучения  </w:t>
            </w:r>
            <w:r w:rsidRPr="0064068C">
              <w:rPr>
                <w:rFonts w:ascii="Times New Roman" w:hAnsi="Times New Roman" w:cs="Times New Roman"/>
                <w:b/>
                <w:sz w:val="24"/>
              </w:rPr>
              <w:t>детей с нарушениями опорно-двигательного аппарата.</w:t>
            </w:r>
          </w:p>
        </w:tc>
        <w:tc>
          <w:tcPr>
            <w:tcW w:w="4673" w:type="dxa"/>
          </w:tcPr>
          <w:p w:rsidR="002F689A" w:rsidRPr="002F689A" w:rsidRDefault="002F689A" w:rsidP="002F689A">
            <w:pPr>
              <w:widowControl w:val="0"/>
              <w:tabs>
                <w:tab w:val="left" w:pos="1920"/>
              </w:tabs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Персональный компьютер-эффективное</w:t>
            </w:r>
            <w:r w:rsidRPr="002F689A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средство</w:t>
            </w:r>
            <w:r w:rsidRPr="002F689A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обучения люд</w:t>
            </w: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ей с двигательными нарушениями. </w:t>
            </w:r>
            <w:r w:rsidRPr="002F689A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Основные проблемы, возникающие перед учащимися с двигательными нарушениями, связаны с использованием клавиатуры и мыши для осуществления процесса набора текста.</w:t>
            </w:r>
          </w:p>
          <w:p w:rsidR="002F689A" w:rsidRPr="002F689A" w:rsidRDefault="002F689A" w:rsidP="002F689A">
            <w:pPr>
              <w:widowControl w:val="0"/>
              <w:tabs>
                <w:tab w:val="left" w:pos="1920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2F689A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Устройства, предназначенные для облегчения манипуляций учащихся с двигательными нарушениями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:</w:t>
            </w:r>
          </w:p>
          <w:p w:rsidR="002F689A" w:rsidRPr="002F689A" w:rsidRDefault="002F689A" w:rsidP="002F689A">
            <w:pPr>
              <w:pStyle w:val="a3"/>
              <w:widowControl w:val="0"/>
              <w:numPr>
                <w:ilvl w:val="0"/>
                <w:numId w:val="12"/>
              </w:numPr>
              <w:tabs>
                <w:tab w:val="left" w:pos="1920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2F689A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Манипулятор трекбол</w:t>
            </w:r>
          </w:p>
          <w:p w:rsidR="002F689A" w:rsidRPr="002F689A" w:rsidRDefault="002F689A" w:rsidP="002F689A">
            <w:pPr>
              <w:pStyle w:val="a3"/>
              <w:widowControl w:val="0"/>
              <w:numPr>
                <w:ilvl w:val="0"/>
                <w:numId w:val="12"/>
              </w:numPr>
              <w:tabs>
                <w:tab w:val="left" w:pos="1920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2F689A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Сенсорная панель</w:t>
            </w:r>
          </w:p>
          <w:p w:rsidR="002F689A" w:rsidRPr="002F689A" w:rsidRDefault="002F689A" w:rsidP="002F689A">
            <w:pPr>
              <w:pStyle w:val="a3"/>
              <w:widowControl w:val="0"/>
              <w:numPr>
                <w:ilvl w:val="0"/>
                <w:numId w:val="12"/>
              </w:numPr>
              <w:tabs>
                <w:tab w:val="left" w:pos="1920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2F689A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Джойстик</w:t>
            </w:r>
          </w:p>
          <w:p w:rsidR="002F689A" w:rsidRPr="002F689A" w:rsidRDefault="002F689A" w:rsidP="002F689A">
            <w:pPr>
              <w:pStyle w:val="a3"/>
              <w:widowControl w:val="0"/>
              <w:numPr>
                <w:ilvl w:val="0"/>
                <w:numId w:val="12"/>
              </w:numPr>
              <w:tabs>
                <w:tab w:val="left" w:pos="1920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2F689A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Электронные позиционирующие устройства</w:t>
            </w:r>
          </w:p>
          <w:p w:rsidR="002F689A" w:rsidRPr="002F689A" w:rsidRDefault="002F689A" w:rsidP="002F689A">
            <w:pPr>
              <w:pStyle w:val="a3"/>
              <w:widowControl w:val="0"/>
              <w:numPr>
                <w:ilvl w:val="0"/>
                <w:numId w:val="12"/>
              </w:numPr>
              <w:tabs>
                <w:tab w:val="left" w:pos="1920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2F689A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Сенсорный экран</w:t>
            </w:r>
          </w:p>
          <w:p w:rsidR="002F689A" w:rsidRPr="002F689A" w:rsidRDefault="002F689A" w:rsidP="002F689A">
            <w:pPr>
              <w:widowControl w:val="0"/>
              <w:tabs>
                <w:tab w:val="left" w:pos="1920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2F689A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Специальное оборудование</w:t>
            </w:r>
          </w:p>
          <w:p w:rsidR="002F689A" w:rsidRDefault="002F689A" w:rsidP="002F689A">
            <w:pPr>
              <w:widowControl w:val="0"/>
              <w:tabs>
                <w:tab w:val="left" w:pos="1920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2F689A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средства передвижения: </w:t>
            </w:r>
          </w:p>
          <w:p w:rsidR="002F689A" w:rsidRPr="002F689A" w:rsidRDefault="002F689A" w:rsidP="002F689A">
            <w:pPr>
              <w:widowControl w:val="0"/>
              <w:tabs>
                <w:tab w:val="left" w:pos="1920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2F689A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различные варианты инвалидных колясок (комнатные, прогулочные, функциональные, спортивные), подъемники для пересаживани</w:t>
            </w: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я, микроавтобус, ходунки.</w:t>
            </w:r>
          </w:p>
        </w:tc>
      </w:tr>
      <w:tr w:rsidR="002F689A" w:rsidTr="002F689A">
        <w:tc>
          <w:tcPr>
            <w:tcW w:w="4672" w:type="dxa"/>
          </w:tcPr>
          <w:p w:rsidR="002F689A" w:rsidRDefault="002F689A" w:rsidP="002F689A">
            <w:pPr>
              <w:widowControl w:val="0"/>
              <w:tabs>
                <w:tab w:val="left" w:pos="1920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</w:pPr>
            <w:r w:rsidRPr="007E7C1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 </w:t>
            </w:r>
            <w:r w:rsidR="00614299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ar-SA"/>
              </w:rPr>
              <w:t xml:space="preserve">Средства обучения </w:t>
            </w:r>
            <w:r w:rsidRPr="009C404A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ar-SA"/>
              </w:rPr>
              <w:t>слабослышащих и глухих детей</w:t>
            </w:r>
          </w:p>
        </w:tc>
        <w:tc>
          <w:tcPr>
            <w:tcW w:w="4673" w:type="dxa"/>
          </w:tcPr>
          <w:p w:rsidR="002F689A" w:rsidRPr="00EC7851" w:rsidRDefault="002F689A" w:rsidP="002F689A">
            <w:pPr>
              <w:widowControl w:val="0"/>
              <w:autoSpaceDE w:val="0"/>
              <w:autoSpaceDN w:val="0"/>
              <w:adjustRightInd w:val="0"/>
              <w:ind w:firstLine="34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C78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Дактильная и жестовая речь. Применяется в обучении лиц, имеющих нарушения слуха. Жестовая речь применяется в обучении и других категорий лиц с отклонениями в развитии.</w:t>
            </w:r>
          </w:p>
          <w:p w:rsidR="00EC7851" w:rsidRDefault="002F689A" w:rsidP="00EC7851">
            <w:pPr>
              <w:widowControl w:val="0"/>
              <w:tabs>
                <w:tab w:val="left" w:pos="1920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C78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Система жестового общения имеет сложную структуру. Она включает две разновидности жестовой речи — разговорную и калькирующую. Область применения разговорной жестовой речи — неофициальное межличностное общение. Она представляет собой самостоятельную систему. Калькирующая жестовая речь имеет иное строение. В ней каждый жест эквивалентен слову, порядок </w:t>
            </w:r>
            <w:r w:rsidRPr="00EC78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следования жестов идентичен порядку следования слов в обычном предложении.</w:t>
            </w:r>
            <w:r w:rsidR="00EC7851" w:rsidRPr="00EC78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Письмо и чтение для слабослышащих детей – доступный способ усвоения знаний и источник для овладения языком. Возрастает роль наглядных средств, которые не иллюстрируют учебный материал, а наглядно раскрывают его содержание.</w:t>
            </w:r>
          </w:p>
          <w:p w:rsidR="00EC7851" w:rsidRPr="00EC7851" w:rsidRDefault="00EC7851" w:rsidP="00EC7851">
            <w:pPr>
              <w:widowControl w:val="0"/>
              <w:tabs>
                <w:tab w:val="left" w:pos="1920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Наглядно-действенные средства.</w:t>
            </w:r>
          </w:p>
          <w:p w:rsidR="00EC7851" w:rsidRDefault="00EC7851" w:rsidP="00EC7851">
            <w:pPr>
              <w:widowControl w:val="0"/>
              <w:tabs>
                <w:tab w:val="left" w:pos="1920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C78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современных условиях хорошим средством компенсации нарушенных функций является компьютер. </w:t>
            </w:r>
          </w:p>
          <w:p w:rsidR="00EC7851" w:rsidRPr="00EC7851" w:rsidRDefault="00EC7851" w:rsidP="00EC7851">
            <w:pPr>
              <w:widowControl w:val="0"/>
              <w:tabs>
                <w:tab w:val="left" w:pos="1920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EC78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Зрительное восприятие устной речи — «чтение с лица»</w:t>
            </w:r>
            <w:r w:rsidRPr="00EC78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EC78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EC78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общении между людьми участвует не только слух, но и зрение. Видеть говорящего важно для восприятия его речи, поэтому орган зрения помогает органу слуха. Речь можно не только слышать, но и видеть, воспринимая ее по движениям губ, мышц лица, языка. Это вспомогательное средство облегчает слабослышащим процессы слухового восприятия, а для глухих служит частичной компенсацией отсутствующего слуха.</w:t>
            </w:r>
          </w:p>
        </w:tc>
      </w:tr>
      <w:tr w:rsidR="002F689A" w:rsidTr="002F689A">
        <w:tc>
          <w:tcPr>
            <w:tcW w:w="4672" w:type="dxa"/>
          </w:tcPr>
          <w:p w:rsidR="002F689A" w:rsidRDefault="00EC7851" w:rsidP="002F689A">
            <w:pPr>
              <w:widowControl w:val="0"/>
              <w:tabs>
                <w:tab w:val="left" w:pos="1920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  <w:lastRenderedPageBreak/>
              <w:t>Средства обучения</w:t>
            </w:r>
            <w:r w:rsidRPr="00EC7851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  <w:t xml:space="preserve"> слабовидящих и незрячих детей</w:t>
            </w:r>
          </w:p>
        </w:tc>
        <w:tc>
          <w:tcPr>
            <w:tcW w:w="4673" w:type="dxa"/>
          </w:tcPr>
          <w:p w:rsidR="00EC7851" w:rsidRPr="00EC7851" w:rsidRDefault="00EC7851" w:rsidP="00EC7851">
            <w:pPr>
              <w:widowControl w:val="0"/>
              <w:tabs>
                <w:tab w:val="left" w:pos="1920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EC7851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Для учащихся школ III вида выпускается разнообразная литература, издаваемая по системе Брайля. Это учебники, учебные пособия, социально-экономическая, политическая, художественная, научно-популярная, музыкальная литература.</w:t>
            </w:r>
          </w:p>
          <w:p w:rsidR="00EC7851" w:rsidRPr="00EC7851" w:rsidRDefault="00EC7851" w:rsidP="00EC7851">
            <w:pPr>
              <w:widowControl w:val="0"/>
              <w:tabs>
                <w:tab w:val="left" w:pos="1920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EC7851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 Все выпускаемые учебники по Брайлю иллюстрируются рельефными рисунками, чертежами, схемами. Для слепых, имеющих остаточное зрение, выпускаются пособия, сочетающие рельефную и цветную печать.</w:t>
            </w:r>
          </w:p>
          <w:p w:rsidR="00EC7851" w:rsidRPr="00EC7851" w:rsidRDefault="00EC7851" w:rsidP="00EC7851">
            <w:pPr>
              <w:widowControl w:val="0"/>
              <w:tabs>
                <w:tab w:val="left" w:pos="1920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EC7851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В школах для слабовидящих широко используются специальные учебники </w:t>
            </w:r>
            <w:r w:rsidRPr="00EC7851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lastRenderedPageBreak/>
              <w:t>с укрупненным шрифтом и адаптированными цветными иллюстрациями.</w:t>
            </w:r>
          </w:p>
          <w:p w:rsidR="00EC7851" w:rsidRPr="00EC7851" w:rsidRDefault="00EC7851" w:rsidP="00EC7851">
            <w:pPr>
              <w:widowControl w:val="0"/>
              <w:tabs>
                <w:tab w:val="left" w:pos="1920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EC7851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Для подбора, построения и реконструкции изображений для слепых и слабовидящих разработаны специальные методики, учитывающие зрительные и осязательные возможности детей (В.П.Ермаков).</w:t>
            </w:r>
          </w:p>
          <w:p w:rsidR="002F689A" w:rsidRPr="00EC7851" w:rsidRDefault="00EC7851" w:rsidP="002F689A">
            <w:pPr>
              <w:widowControl w:val="0"/>
              <w:tabs>
                <w:tab w:val="left" w:pos="1920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EC7851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Понятие тифлотехника включает в себя как теоретическое обоснование технических устройств и методов помощи людям со зрительной недостаточностью, так и практическое приложение этих устройств и методов применительно к условиям деятельности слепых и слабовидящих с учетом структуры нарушенных зрительных функций. </w:t>
            </w:r>
          </w:p>
        </w:tc>
      </w:tr>
      <w:tr w:rsidR="002F689A" w:rsidTr="002F689A">
        <w:tc>
          <w:tcPr>
            <w:tcW w:w="4672" w:type="dxa"/>
          </w:tcPr>
          <w:p w:rsidR="002F689A" w:rsidRPr="00C10AB0" w:rsidRDefault="00EC7851" w:rsidP="002F689A">
            <w:pPr>
              <w:widowControl w:val="0"/>
              <w:tabs>
                <w:tab w:val="left" w:pos="1920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C10AB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lastRenderedPageBreak/>
              <w:t> </w:t>
            </w:r>
            <w:r w:rsidRPr="00C10AB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Средства обучения  детей с нарушениями речи</w:t>
            </w:r>
          </w:p>
        </w:tc>
        <w:tc>
          <w:tcPr>
            <w:tcW w:w="4673" w:type="dxa"/>
          </w:tcPr>
          <w:p w:rsidR="00EC7851" w:rsidRPr="00C10AB0" w:rsidRDefault="00EC7851" w:rsidP="00EC7851">
            <w:pPr>
              <w:widowControl w:val="0"/>
              <w:tabs>
                <w:tab w:val="left" w:pos="1920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C10AB0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Особенно широко применяются словесные приемы: речевой образец, повторное проговаривание, объяснение, оценка детской речи, вопрос.</w:t>
            </w:r>
          </w:p>
          <w:p w:rsidR="00EC7851" w:rsidRPr="00C10AB0" w:rsidRDefault="00C10AB0" w:rsidP="00EC7851">
            <w:pPr>
              <w:widowControl w:val="0"/>
              <w:tabs>
                <w:tab w:val="left" w:pos="1920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C10AB0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Слово учителя-средство</w:t>
            </w:r>
            <w:r w:rsidR="00EC7851" w:rsidRPr="00C10AB0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передачи ученикам знаний. Оно должно быть воспринято детьми. </w:t>
            </w:r>
          </w:p>
          <w:p w:rsidR="00EC7851" w:rsidRPr="00C10AB0" w:rsidRDefault="00EC7851" w:rsidP="00EC7851">
            <w:pPr>
              <w:widowControl w:val="0"/>
              <w:tabs>
                <w:tab w:val="left" w:pos="1920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C10AB0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Поэтому к речи педагога, работающего в системе специального образования, в силу специфики контингента обучаемых предъявляются особые требования. Речь должна звучать внятно, отчетливо, естественно. Педагог специальных образовательных учреждений должен уметь прогнозировать содержание и ритм учебного занятия как речевого события, владеть техникой речевой импровизации, находить и использовать ситуации, способствующие активизации речевой деятельности учащихся, обладать бездефектным произношением, умением строить краткие и точные фразы.</w:t>
            </w:r>
          </w:p>
          <w:p w:rsidR="00EC7851" w:rsidRPr="00C10AB0" w:rsidRDefault="00EC7851" w:rsidP="00EC7851">
            <w:pPr>
              <w:widowControl w:val="0"/>
              <w:tabs>
                <w:tab w:val="left" w:pos="1920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  <w:r w:rsidRPr="00C10AB0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Художественно-речевая деятельность</w:t>
            </w:r>
            <w:r w:rsidR="00C10AB0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.</w:t>
            </w:r>
            <w:r w:rsidRPr="00C10AB0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Помогает детям с отклонениями в развитии совершенствовать </w:t>
            </w:r>
            <w:r w:rsidRPr="00C10AB0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lastRenderedPageBreak/>
              <w:t>свои речевые навыки, преодолевать страх и неуверенность в процессе пользования речью, развивает способность чувствовать красоту языка, поэтического и художественного слова, духовно обогащает детей, вызывает у них интерес к литературному чтению.</w:t>
            </w:r>
          </w:p>
          <w:p w:rsidR="002F689A" w:rsidRPr="00C10AB0" w:rsidRDefault="00EC7851" w:rsidP="00C10AB0">
            <w:pPr>
              <w:widowControl w:val="0"/>
              <w:tabs>
                <w:tab w:val="left" w:pos="1920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iCs/>
                <w:sz w:val="28"/>
                <w:szCs w:val="24"/>
                <w:lang w:eastAsia="ru-RU"/>
              </w:rPr>
            </w:pPr>
            <w:r w:rsidRPr="00C10AB0">
              <w:rPr>
                <w:rFonts w:ascii="Times New Roman" w:eastAsia="Times New Roman" w:hAnsi="Times New Roman" w:cs="Times New Roman"/>
                <w:bCs/>
                <w:iCs/>
                <w:sz w:val="28"/>
                <w:szCs w:val="24"/>
                <w:lang w:eastAsia="ru-RU"/>
              </w:rPr>
              <w:t>Музыкальные средств</w:t>
            </w:r>
            <w:r w:rsidR="00C10AB0">
              <w:rPr>
                <w:rFonts w:ascii="Times New Roman" w:eastAsia="Times New Roman" w:hAnsi="Times New Roman" w:cs="Times New Roman"/>
                <w:bCs/>
                <w:iCs/>
                <w:sz w:val="28"/>
                <w:szCs w:val="24"/>
                <w:lang w:eastAsia="ru-RU"/>
              </w:rPr>
              <w:t>а</w:t>
            </w:r>
            <w:r w:rsidRPr="00C10AB0">
              <w:rPr>
                <w:rFonts w:ascii="Times New Roman" w:eastAsia="Times New Roman" w:hAnsi="Times New Roman" w:cs="Times New Roman"/>
                <w:bCs/>
                <w:iCs/>
                <w:sz w:val="28"/>
                <w:szCs w:val="24"/>
                <w:lang w:eastAsia="ru-RU"/>
              </w:rPr>
              <w:t xml:space="preserve"> воспитания</w:t>
            </w:r>
            <w:r w:rsidR="00C10AB0">
              <w:rPr>
                <w:rFonts w:ascii="Times New Roman" w:eastAsia="Times New Roman" w:hAnsi="Times New Roman" w:cs="Times New Roman"/>
                <w:bCs/>
                <w:iCs/>
                <w:sz w:val="28"/>
                <w:szCs w:val="24"/>
                <w:lang w:eastAsia="ru-RU"/>
              </w:rPr>
              <w:t xml:space="preserve">. </w:t>
            </w:r>
            <w:r w:rsidRPr="00C10AB0">
              <w:rPr>
                <w:rFonts w:ascii="Times New Roman" w:eastAsia="Times New Roman" w:hAnsi="Times New Roman" w:cs="Times New Roman"/>
                <w:bCs/>
                <w:iCs/>
                <w:sz w:val="28"/>
                <w:szCs w:val="24"/>
                <w:lang w:eastAsia="ru-RU"/>
              </w:rPr>
              <w:t>Занятия оказывают положительное влияние на совершенствование ритмико-мелодической стороны устной речи учащихся, развитие их слухового восприятия. Улучшение слуховой памяти учащихся в процессе обучения восприятию музыки помогает им в усвоении языка.</w:t>
            </w:r>
          </w:p>
        </w:tc>
      </w:tr>
      <w:tr w:rsidR="002F689A" w:rsidTr="002F689A">
        <w:tc>
          <w:tcPr>
            <w:tcW w:w="4672" w:type="dxa"/>
          </w:tcPr>
          <w:p w:rsidR="002F689A" w:rsidRDefault="00C10AB0" w:rsidP="002F689A">
            <w:pPr>
              <w:widowControl w:val="0"/>
              <w:tabs>
                <w:tab w:val="left" w:pos="1920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</w:pPr>
            <w:r w:rsidRPr="006406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lastRenderedPageBreak/>
              <w:t xml:space="preserve">Средства обучения  </w:t>
            </w:r>
            <w:r w:rsidRPr="0064068C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ar-SA"/>
              </w:rPr>
              <w:t xml:space="preserve">умственно отсталых и </w:t>
            </w: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ar-SA"/>
              </w:rPr>
              <w:t>детей с задержкой развития</w:t>
            </w:r>
          </w:p>
        </w:tc>
        <w:tc>
          <w:tcPr>
            <w:tcW w:w="4673" w:type="dxa"/>
          </w:tcPr>
          <w:p w:rsidR="00C10AB0" w:rsidRPr="00C10AB0" w:rsidRDefault="00C10AB0" w:rsidP="00C10AB0">
            <w:pPr>
              <w:widowControl w:val="0"/>
              <w:tabs>
                <w:tab w:val="left" w:pos="1920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C10AB0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Картинный материал</w:t>
            </w:r>
          </w:p>
          <w:p w:rsidR="00C10AB0" w:rsidRPr="00C10AB0" w:rsidRDefault="00C10AB0" w:rsidP="00C10AB0">
            <w:pPr>
              <w:widowControl w:val="0"/>
              <w:tabs>
                <w:tab w:val="left" w:pos="1920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C10AB0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Средство для развития зрительного восприятия, внимания и памяти, активизации словарного запаса, развития связной речи</w:t>
            </w:r>
          </w:p>
          <w:p w:rsidR="00C10AB0" w:rsidRPr="00C10AB0" w:rsidRDefault="00C10AB0" w:rsidP="00C10AB0">
            <w:pPr>
              <w:widowControl w:val="0"/>
              <w:tabs>
                <w:tab w:val="left" w:pos="1920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C10AB0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Разрезные картинки</w:t>
            </w:r>
          </w:p>
          <w:p w:rsidR="00C10AB0" w:rsidRPr="00C10AB0" w:rsidRDefault="00C10AB0" w:rsidP="00C10AB0">
            <w:pPr>
              <w:widowControl w:val="0"/>
              <w:tabs>
                <w:tab w:val="left" w:pos="1920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C10AB0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Это средство предназначено для формирования мыслительных операций (осуществляется с индивидуально-дифференцированным подходом: варьируется количество частей и сложность линий разреза)</w:t>
            </w:r>
          </w:p>
          <w:p w:rsidR="00C10AB0" w:rsidRPr="00C10AB0" w:rsidRDefault="00C10AB0" w:rsidP="00C10AB0">
            <w:pPr>
              <w:widowControl w:val="0"/>
              <w:tabs>
                <w:tab w:val="left" w:pos="1920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C10AB0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Мозаика, шнуровки, пуговицы, палочки, природный материал и т. п.</w:t>
            </w:r>
          </w:p>
          <w:p w:rsidR="00C10AB0" w:rsidRPr="00C10AB0" w:rsidRDefault="00C10AB0" w:rsidP="00C10AB0">
            <w:pPr>
              <w:widowControl w:val="0"/>
              <w:tabs>
                <w:tab w:val="left" w:pos="1920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C10AB0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Средства для развития зрительно-моторной координации, мелкой моторики рук и артикуляционной моторики, подготавливающие почву для последующего формирования речи</w:t>
            </w:r>
          </w:p>
          <w:p w:rsidR="00C10AB0" w:rsidRPr="00C10AB0" w:rsidRDefault="00C10AB0" w:rsidP="00C10AB0">
            <w:pPr>
              <w:widowControl w:val="0"/>
              <w:tabs>
                <w:tab w:val="left" w:pos="1920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C10AB0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Пальчиковый теневой театр - средство формирования коммуникативных навыков у детей с интеллектуальной недостаточностью посредством метода театрализации.</w:t>
            </w:r>
          </w:p>
          <w:p w:rsidR="00C10AB0" w:rsidRPr="00C10AB0" w:rsidRDefault="00C10AB0" w:rsidP="00C10AB0">
            <w:pPr>
              <w:widowControl w:val="0"/>
              <w:tabs>
                <w:tab w:val="left" w:pos="1920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C10AB0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Музыка.Средство создания необходимой эмоциональной атмосферы на уроке, настрой ребёнка на творче</w:t>
            </w:r>
            <w:r w:rsidRPr="00C10AB0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lastRenderedPageBreak/>
              <w:t>скую работу; средство для релаксации</w:t>
            </w:r>
          </w:p>
          <w:p w:rsidR="00C10AB0" w:rsidRPr="00C10AB0" w:rsidRDefault="00C10AB0" w:rsidP="00C10AB0">
            <w:pPr>
              <w:widowControl w:val="0"/>
              <w:tabs>
                <w:tab w:val="left" w:pos="1920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C10AB0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Для развития фонематического восприятия, формирования более полного представления о предметах, явлениях, событиях окружающего мира, для психофизической коррекции.</w:t>
            </w:r>
          </w:p>
          <w:p w:rsidR="00C10AB0" w:rsidRPr="00C10AB0" w:rsidRDefault="00C10AB0" w:rsidP="00C10AB0">
            <w:pPr>
              <w:widowControl w:val="0"/>
              <w:tabs>
                <w:tab w:val="left" w:pos="1920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C10AB0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При индивидуальной работе музыкальный материал подбирается в зависимости от цели урока и индивидуальных особенностей, психофизического состояния ребёнка.</w:t>
            </w:r>
          </w:p>
          <w:p w:rsidR="00C10AB0" w:rsidRPr="00C10AB0" w:rsidRDefault="00C10AB0" w:rsidP="00C10AB0">
            <w:pPr>
              <w:widowControl w:val="0"/>
              <w:tabs>
                <w:tab w:val="left" w:pos="1920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C10AB0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ИКТ-тренажеры по предметам</w:t>
            </w:r>
          </w:p>
          <w:p w:rsidR="00C10AB0" w:rsidRPr="00C10AB0" w:rsidRDefault="00C10AB0" w:rsidP="00C10AB0">
            <w:pPr>
              <w:widowControl w:val="0"/>
              <w:tabs>
                <w:tab w:val="left" w:pos="1920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C10AB0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ИКТ-тренажёр «Звуки-буквы»</w:t>
            </w:r>
          </w:p>
          <w:p w:rsidR="00C10AB0" w:rsidRPr="00C10AB0" w:rsidRDefault="00C10AB0" w:rsidP="00C10AB0">
            <w:pPr>
              <w:widowControl w:val="0"/>
              <w:tabs>
                <w:tab w:val="left" w:pos="1920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C10AB0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Средства, с помощью которых дети лучше усваивают материал. Например, для формирования умения различать буквы и звуки можно использовать. Ученику предлагается раскрасить буквы одним цветом, звуки – другим. Если он всё выполняет верно, получает сюрприз – коротенькую игру; если нет, - заново выполняет работу до тех пор, пока не справится с заданием. </w:t>
            </w:r>
          </w:p>
          <w:p w:rsidR="002F689A" w:rsidRPr="00C10AB0" w:rsidRDefault="00C10AB0" w:rsidP="00C10AB0">
            <w:pPr>
              <w:widowControl w:val="0"/>
              <w:tabs>
                <w:tab w:val="left" w:pos="1920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C10AB0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Ручной труд как вид декоративно-прикладного искусства развивает моторику, координацию движений, формирует трудовые навыки, приобщает к культуре и искусству народа, края, страны, знакомит с искусством художественных ремесел, рас</w:t>
            </w: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ширяет кругозор и речевой запас.</w:t>
            </w:r>
          </w:p>
        </w:tc>
      </w:tr>
    </w:tbl>
    <w:p w:rsidR="002F689A" w:rsidRPr="002F689A" w:rsidRDefault="002F689A" w:rsidP="002F689A">
      <w:pPr>
        <w:widowControl w:val="0"/>
        <w:tabs>
          <w:tab w:val="left" w:pos="19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5E7F5E" w:rsidRPr="005E7F5E" w:rsidRDefault="005E7F5E" w:rsidP="005E7F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10"/>
          <w:sz w:val="28"/>
          <w:szCs w:val="28"/>
          <w:lang w:eastAsia="ru-RU"/>
        </w:rPr>
      </w:pPr>
      <w:bookmarkStart w:id="0" w:name="_GoBack"/>
      <w:bookmarkEnd w:id="0"/>
    </w:p>
    <w:p w:rsidR="005E7F5E" w:rsidRDefault="005E7F5E" w:rsidP="00F17C12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sectPr w:rsidR="005E7F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D51CB" w:rsidRDefault="001D51CB" w:rsidP="00F17C12">
      <w:pPr>
        <w:spacing w:after="0" w:line="240" w:lineRule="auto"/>
      </w:pPr>
      <w:r>
        <w:separator/>
      </w:r>
    </w:p>
  </w:endnote>
  <w:endnote w:type="continuationSeparator" w:id="0">
    <w:p w:rsidR="001D51CB" w:rsidRDefault="001D51CB" w:rsidP="00F17C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D51CB" w:rsidRDefault="001D51CB" w:rsidP="00F17C12">
      <w:pPr>
        <w:spacing w:after="0" w:line="240" w:lineRule="auto"/>
      </w:pPr>
      <w:r>
        <w:separator/>
      </w:r>
    </w:p>
  </w:footnote>
  <w:footnote w:type="continuationSeparator" w:id="0">
    <w:p w:rsidR="001D51CB" w:rsidRDefault="001D51CB" w:rsidP="00F17C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B147CB"/>
    <w:multiLevelType w:val="hybridMultilevel"/>
    <w:tmpl w:val="F78421CE"/>
    <w:lvl w:ilvl="0" w:tplc="0000000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9C713C"/>
    <w:multiLevelType w:val="hybridMultilevel"/>
    <w:tmpl w:val="BBA06A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7404D0"/>
    <w:multiLevelType w:val="multilevel"/>
    <w:tmpl w:val="9864B0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7B11EF8"/>
    <w:multiLevelType w:val="hybridMultilevel"/>
    <w:tmpl w:val="C7D0F63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45C1257"/>
    <w:multiLevelType w:val="hybridMultilevel"/>
    <w:tmpl w:val="7B167FE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2BE23651"/>
    <w:multiLevelType w:val="hybridMultilevel"/>
    <w:tmpl w:val="14E85D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D055E58"/>
    <w:multiLevelType w:val="hybridMultilevel"/>
    <w:tmpl w:val="F78421CE"/>
    <w:lvl w:ilvl="0" w:tplc="0000000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9A4847"/>
    <w:multiLevelType w:val="hybridMultilevel"/>
    <w:tmpl w:val="12F8195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390B1950"/>
    <w:multiLevelType w:val="hybridMultilevel"/>
    <w:tmpl w:val="83F0121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3E5B5730"/>
    <w:multiLevelType w:val="hybridMultilevel"/>
    <w:tmpl w:val="3552F4A0"/>
    <w:lvl w:ilvl="0" w:tplc="04190001">
      <w:start w:val="1"/>
      <w:numFmt w:val="bullet"/>
      <w:lvlText w:val=""/>
      <w:lvlJc w:val="left"/>
      <w:pPr>
        <w:ind w:left="50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2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1" w:hanging="360"/>
      </w:pPr>
      <w:rPr>
        <w:rFonts w:ascii="Wingdings" w:hAnsi="Wingdings" w:hint="default"/>
      </w:rPr>
    </w:lvl>
  </w:abstractNum>
  <w:abstractNum w:abstractNumId="10">
    <w:nsid w:val="45D53461"/>
    <w:multiLevelType w:val="hybridMultilevel"/>
    <w:tmpl w:val="4FDE646E"/>
    <w:lvl w:ilvl="0" w:tplc="0000000C">
      <w:start w:val="1"/>
      <w:numFmt w:val="decimal"/>
      <w:lvlText w:val="%1."/>
      <w:lvlJc w:val="left"/>
      <w:pPr>
        <w:tabs>
          <w:tab w:val="num" w:pos="501"/>
        </w:tabs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1">
    <w:nsid w:val="7D711935"/>
    <w:multiLevelType w:val="hybridMultilevel"/>
    <w:tmpl w:val="76F402C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3"/>
  </w:num>
  <w:num w:numId="2">
    <w:abstractNumId w:val="0"/>
  </w:num>
  <w:num w:numId="3">
    <w:abstractNumId w:val="10"/>
  </w:num>
  <w:num w:numId="4">
    <w:abstractNumId w:val="6"/>
  </w:num>
  <w:num w:numId="5">
    <w:abstractNumId w:val="11"/>
  </w:num>
  <w:num w:numId="6">
    <w:abstractNumId w:val="2"/>
  </w:num>
  <w:num w:numId="7">
    <w:abstractNumId w:val="8"/>
  </w:num>
  <w:num w:numId="8">
    <w:abstractNumId w:val="4"/>
  </w:num>
  <w:num w:numId="9">
    <w:abstractNumId w:val="9"/>
  </w:num>
  <w:num w:numId="10">
    <w:abstractNumId w:val="7"/>
  </w:num>
  <w:num w:numId="11">
    <w:abstractNumId w:val="5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69B2"/>
    <w:rsid w:val="000758BF"/>
    <w:rsid w:val="0009631A"/>
    <w:rsid w:val="00140820"/>
    <w:rsid w:val="001D51CB"/>
    <w:rsid w:val="002F689A"/>
    <w:rsid w:val="002F69B2"/>
    <w:rsid w:val="003E24C3"/>
    <w:rsid w:val="004A6DF0"/>
    <w:rsid w:val="005E7F5E"/>
    <w:rsid w:val="00614299"/>
    <w:rsid w:val="00755BC4"/>
    <w:rsid w:val="007F34EA"/>
    <w:rsid w:val="00823D23"/>
    <w:rsid w:val="0083553F"/>
    <w:rsid w:val="00866B94"/>
    <w:rsid w:val="008D5FAD"/>
    <w:rsid w:val="00B17045"/>
    <w:rsid w:val="00BD61D2"/>
    <w:rsid w:val="00C10AB0"/>
    <w:rsid w:val="00C4296F"/>
    <w:rsid w:val="00EC7851"/>
    <w:rsid w:val="00F17C12"/>
    <w:rsid w:val="00F423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DED8A88-4E4C-450A-8454-3F56E5936D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17C12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F17C1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F17C12"/>
  </w:style>
  <w:style w:type="paragraph" w:styleId="a6">
    <w:name w:val="footer"/>
    <w:basedOn w:val="a"/>
    <w:link w:val="a7"/>
    <w:uiPriority w:val="99"/>
    <w:unhideWhenUsed/>
    <w:rsid w:val="00F17C1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F17C12"/>
  </w:style>
  <w:style w:type="table" w:styleId="a8">
    <w:name w:val="Table Grid"/>
    <w:basedOn w:val="a1"/>
    <w:uiPriority w:val="39"/>
    <w:rsid w:val="000758B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Hyperlink"/>
    <w:basedOn w:val="a0"/>
    <w:uiPriority w:val="99"/>
    <w:unhideWhenUsed/>
    <w:rsid w:val="00EC785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645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9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7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04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65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82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72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7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5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5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49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4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62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990</Words>
  <Characters>5649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6626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ЕкатеринаЛ</dc:creator>
  <cp:keywords/>
  <dc:description/>
  <cp:lastModifiedBy>Дмитрий Каленюк</cp:lastModifiedBy>
  <cp:revision>2</cp:revision>
  <dcterms:created xsi:type="dcterms:W3CDTF">2020-12-28T17:50:00Z</dcterms:created>
  <dcterms:modified xsi:type="dcterms:W3CDTF">2020-12-28T17:50:00Z</dcterms:modified>
</cp:coreProperties>
</file>