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62A" w:rsidRPr="00B97141" w:rsidRDefault="00B97141" w:rsidP="00B971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Сравнительная таблица </w:t>
      </w:r>
      <w:r w:rsidRPr="00B97141">
        <w:rPr>
          <w:rFonts w:ascii="Times New Roman" w:hAnsi="Times New Roman" w:cs="Times New Roman"/>
          <w:sz w:val="28"/>
          <w:szCs w:val="28"/>
        </w:rPr>
        <w:t>СДВГ от РАС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97141" w:rsidRPr="00B97141" w:rsidTr="00B97141">
        <w:tc>
          <w:tcPr>
            <w:tcW w:w="3115" w:type="dxa"/>
          </w:tcPr>
          <w:p w:rsidR="00B97141" w:rsidRPr="00B97141" w:rsidRDefault="00B97141" w:rsidP="00B97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B97141" w:rsidRPr="00B97141" w:rsidRDefault="00B97141" w:rsidP="00B97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РАС</w:t>
            </w:r>
          </w:p>
        </w:tc>
        <w:tc>
          <w:tcPr>
            <w:tcW w:w="3115" w:type="dxa"/>
          </w:tcPr>
          <w:p w:rsidR="00B97141" w:rsidRPr="00B97141" w:rsidRDefault="00B97141" w:rsidP="00B97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СДВГ</w:t>
            </w:r>
          </w:p>
        </w:tc>
      </w:tr>
      <w:tr w:rsidR="00B97141" w:rsidRPr="00B97141" w:rsidTr="00B97141">
        <w:tc>
          <w:tcPr>
            <w:tcW w:w="3115" w:type="dxa"/>
          </w:tcPr>
          <w:p w:rsidR="00B97141" w:rsidRPr="00B97141" w:rsidRDefault="00B97141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 xml:space="preserve">при тяжелых формах аутизма </w:t>
            </w:r>
            <w:bookmarkStart w:id="0" w:name="_GoBack"/>
            <w:bookmarkEnd w:id="0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 xml:space="preserve">речь может быть не развита вовсе, могут быть </w:t>
            </w:r>
            <w:proofErr w:type="spellStart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эхолалии</w:t>
            </w:r>
            <w:proofErr w:type="spellEnd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, трансформация слогов, слов, фраз;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при СДВГ речь может иметь некоторые особенности в рамках общего недоразвития или задержки речевого развития;</w:t>
            </w:r>
          </w:p>
        </w:tc>
      </w:tr>
      <w:tr w:rsidR="00B97141" w:rsidRPr="00B97141" w:rsidTr="00B97141">
        <w:tc>
          <w:tcPr>
            <w:tcW w:w="3115" w:type="dxa"/>
          </w:tcPr>
          <w:p w:rsidR="00B97141" w:rsidRPr="00B97141" w:rsidRDefault="00B97141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Моторное развитие</w:t>
            </w:r>
          </w:p>
        </w:tc>
        <w:tc>
          <w:tcPr>
            <w:tcW w:w="3115" w:type="dxa"/>
          </w:tcPr>
          <w:p w:rsidR="00B97141" w:rsidRPr="00B97141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общая неуклюжесть может быть характерна для СДВГ, раннего детского аутизма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но</w:t>
            </w: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 xml:space="preserve"> стереотипные движения в виде раскачивания, поглаживания, пощипывания и др. встречаются в основном при аутизме</w:t>
            </w:r>
          </w:p>
        </w:tc>
        <w:tc>
          <w:tcPr>
            <w:tcW w:w="3115" w:type="dxa"/>
          </w:tcPr>
          <w:p w:rsidR="00B97141" w:rsidRPr="00B97141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общая неуклюжесть может быть характерна для СДВГ,</w:t>
            </w:r>
            <w:r w:rsidRPr="0076765D">
              <w:rPr>
                <w:rFonts w:ascii="Arial" w:hAnsi="Arial" w:cs="Arial"/>
                <w:color w:val="000000"/>
                <w:sz w:val="30"/>
                <w:szCs w:val="30"/>
              </w:rPr>
              <w:t xml:space="preserve"> </w:t>
            </w: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 xml:space="preserve">Стереотипии могут быть и при СДВГ – они меньше выражены, проходят при коррекции синдрома и благоприятной психологической атмосфере вокруг ребенка </w:t>
            </w:r>
          </w:p>
        </w:tc>
      </w:tr>
      <w:tr w:rsidR="0076765D" w:rsidRPr="00B97141" w:rsidTr="00B97141">
        <w:tc>
          <w:tcPr>
            <w:tcW w:w="3115" w:type="dxa"/>
          </w:tcPr>
          <w:p w:rsidR="0076765D" w:rsidRDefault="0076765D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Интерес к игрушкам</w:t>
            </w:r>
          </w:p>
        </w:tc>
        <w:tc>
          <w:tcPr>
            <w:tcW w:w="3115" w:type="dxa"/>
          </w:tcPr>
          <w:p w:rsidR="0076765D" w:rsidRPr="0076765D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При аутизме интерес к обычным игрушкам в основном слабый, нередко встречается избирательность: субъектом игры на долгое время может стать какая-то одна конкретная игрушка, несмотря на наличие других, равнозначных по привлекательности (или даже более привлекательных);</w:t>
            </w:r>
          </w:p>
        </w:tc>
        <w:tc>
          <w:tcPr>
            <w:tcW w:w="3115" w:type="dxa"/>
          </w:tcPr>
          <w:p w:rsidR="0076765D" w:rsidRPr="0076765D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СДВГэшек</w:t>
            </w:r>
            <w:proofErr w:type="spellEnd"/>
            <w:r w:rsidRPr="0076765D">
              <w:rPr>
                <w:rFonts w:ascii="Times New Roman" w:hAnsi="Times New Roman" w:cs="Times New Roman"/>
                <w:sz w:val="24"/>
                <w:szCs w:val="24"/>
              </w:rPr>
              <w:t xml:space="preserve"> нестабильный: кратковременная радость, непродолжительная игра, затем интерес пропадает, и внимание переключается на что-то иное</w:t>
            </w:r>
          </w:p>
        </w:tc>
      </w:tr>
      <w:tr w:rsidR="0076765D" w:rsidRPr="00B97141" w:rsidTr="00B97141">
        <w:tc>
          <w:tcPr>
            <w:tcW w:w="3115" w:type="dxa"/>
          </w:tcPr>
          <w:p w:rsidR="0076765D" w:rsidRDefault="0076765D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братная связь в виде эмоций</w:t>
            </w:r>
          </w:p>
        </w:tc>
        <w:tc>
          <w:tcPr>
            <w:tcW w:w="3115" w:type="dxa"/>
          </w:tcPr>
          <w:p w:rsidR="0076765D" w:rsidRPr="00B97141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при аутизме чаще наблюдаются не соответствующие ситуации реакции, сдержанные или чрезмерные</w:t>
            </w:r>
          </w:p>
        </w:tc>
        <w:tc>
          <w:tcPr>
            <w:tcW w:w="3115" w:type="dxa"/>
          </w:tcPr>
          <w:p w:rsidR="0076765D" w:rsidRPr="00B97141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при СДВГ обычно чрезмерна: ребенок шумен, излишне смешлив или плаксив</w:t>
            </w:r>
          </w:p>
        </w:tc>
      </w:tr>
      <w:tr w:rsidR="00B97141" w:rsidRPr="00B97141" w:rsidTr="00B97141">
        <w:tc>
          <w:tcPr>
            <w:tcW w:w="3115" w:type="dxa"/>
          </w:tcPr>
          <w:p w:rsidR="00B97141" w:rsidRPr="00B97141" w:rsidRDefault="00B97141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 глаз</w:t>
            </w:r>
          </w:p>
        </w:tc>
        <w:tc>
          <w:tcPr>
            <w:tcW w:w="3115" w:type="dxa"/>
          </w:tcPr>
          <w:p w:rsidR="00B97141" w:rsidRPr="00B97141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А вот при аутизме ровно наоборот: детки стараются избегать смотреть в глаза</w:t>
            </w:r>
          </w:p>
        </w:tc>
        <w:tc>
          <w:tcPr>
            <w:tcW w:w="3115" w:type="dxa"/>
          </w:tcPr>
          <w:p w:rsidR="00B97141" w:rsidRPr="00B97141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контакт глаза-в-глаза: при СДВГ проблем с этим обычно нет, ребенок устанавливает контакт, в том числе и зрительный</w:t>
            </w:r>
          </w:p>
        </w:tc>
      </w:tr>
      <w:tr w:rsidR="0076765D" w:rsidRPr="00B97141" w:rsidTr="00B97141">
        <w:tc>
          <w:tcPr>
            <w:tcW w:w="3115" w:type="dxa"/>
          </w:tcPr>
          <w:p w:rsidR="0076765D" w:rsidRDefault="0076765D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пособность ребенка откликаться на зов, способность устанавливать контакт</w:t>
            </w:r>
          </w:p>
        </w:tc>
        <w:tc>
          <w:tcPr>
            <w:tcW w:w="3115" w:type="dxa"/>
          </w:tcPr>
          <w:p w:rsidR="0076765D" w:rsidRPr="0076765D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при раннем детском аутизме детки не инициируют контакт со взрослым, нередко и вовсе не отзываются;</w:t>
            </w:r>
          </w:p>
        </w:tc>
        <w:tc>
          <w:tcPr>
            <w:tcW w:w="3115" w:type="dxa"/>
          </w:tcPr>
          <w:p w:rsidR="0076765D" w:rsidRPr="0076765D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при СДВГ дети, как правило, могут испытывать трудности только при первой встрече,</w:t>
            </w:r>
          </w:p>
        </w:tc>
      </w:tr>
      <w:tr w:rsidR="00B97141" w:rsidRPr="00B97141" w:rsidTr="00B97141">
        <w:tc>
          <w:tcPr>
            <w:tcW w:w="3115" w:type="dxa"/>
          </w:tcPr>
          <w:p w:rsidR="00B97141" w:rsidRPr="00B97141" w:rsidRDefault="00B97141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 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 xml:space="preserve">Уровень интеллекта при РАС может варьироваться от легкой степени до выраженной; может быть неравномерность развития: в какой-то области более высокие способности по </w:t>
            </w:r>
            <w:r w:rsidRPr="00B971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сравнению со сверстниками (не у всех).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 условии отсутствия сопутствующих заболеваний при СДВГ он имеет совершенно нормальные показатели. Здесь только есть нюанс: ввиду особенностей </w:t>
            </w:r>
            <w:r w:rsidRPr="00B971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поведения и мышления </w:t>
            </w:r>
            <w:proofErr w:type="spellStart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сдвгэшки</w:t>
            </w:r>
            <w:proofErr w:type="spellEnd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, требуется более усердное развитие их интеллектуальных навыков со стороны взрослых (например, учеба)</w:t>
            </w:r>
          </w:p>
        </w:tc>
      </w:tr>
      <w:tr w:rsidR="00B97141" w:rsidRPr="00B97141" w:rsidTr="00B97141">
        <w:tc>
          <w:tcPr>
            <w:tcW w:w="3115" w:type="dxa"/>
          </w:tcPr>
          <w:p w:rsidR="00B97141" w:rsidRPr="00B97141" w:rsidRDefault="00B97141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изическая и интеллектуальная активность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 При РАС, как правило, дети демонстрируют крайние степени активности или пассивности, легко переходят из одного состояния в другое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 xml:space="preserve">СДВГ сам по себе предполагает </w:t>
            </w:r>
            <w:proofErr w:type="spellStart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гиперактивность</w:t>
            </w:r>
            <w:proofErr w:type="spellEnd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, неуемную подвижность ребенка. В случае, когда СДВГ протекает лишь в форме дефицита внимания, ребенок может быть вялым, медлительным</w:t>
            </w:r>
          </w:p>
        </w:tc>
      </w:tr>
      <w:tr w:rsidR="00B97141" w:rsidRPr="00B97141" w:rsidTr="00B97141">
        <w:tc>
          <w:tcPr>
            <w:tcW w:w="3115" w:type="dxa"/>
          </w:tcPr>
          <w:p w:rsidR="00B97141" w:rsidRPr="00B97141" w:rsidRDefault="00B97141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евербальная функция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при аутизме установление социальных контактов очевидно нарушено, невербальная коммуникация практически невозможна.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Общение на невербальном уровне при СДВГ имеет свои особенности: ребенок часто неспособен выстроить социальную иерархию с собеседником, что может повлиять на эмоциональную составляющую контакта, и как следствие, поведение</w:t>
            </w:r>
          </w:p>
        </w:tc>
      </w:tr>
      <w:tr w:rsidR="00B97141" w:rsidRPr="00B97141" w:rsidTr="00B97141">
        <w:tc>
          <w:tcPr>
            <w:tcW w:w="3115" w:type="dxa"/>
          </w:tcPr>
          <w:p w:rsidR="00B97141" w:rsidRDefault="00B97141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Реакция на звуки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 xml:space="preserve">дети с ранним детским аутизмом, как правило, дают </w:t>
            </w:r>
            <w:proofErr w:type="spellStart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гипо</w:t>
            </w:r>
            <w:proofErr w:type="spellEnd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 xml:space="preserve">- или </w:t>
            </w:r>
            <w:proofErr w:type="spellStart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гиперреакцию</w:t>
            </w:r>
            <w:proofErr w:type="spellEnd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 xml:space="preserve"> на звуки: или вовсе не обращают внимание на окружающий их шум, или судорожно закрывают уши ручками, чтобы избавит себя от неприятных им звуков, при этом совсем не обязательно громких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 xml:space="preserve">Что касается </w:t>
            </w:r>
            <w:proofErr w:type="spellStart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СДВГэшек</w:t>
            </w:r>
            <w:proofErr w:type="spellEnd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, то нередко складывается впечатление, что он не слышит обращенную к нему речь – и часто так оно и есть. Тут дело в том, что из-за дефицита внимания ребенок может «витать в облаках», искать только ему ведомые «решения вопросов» и т.д., при этом попросту не обращая внимания на окружающий его мир;</w:t>
            </w:r>
          </w:p>
        </w:tc>
      </w:tr>
      <w:tr w:rsidR="0076765D" w:rsidRPr="00B97141" w:rsidTr="00B97141">
        <w:tc>
          <w:tcPr>
            <w:tcW w:w="3115" w:type="dxa"/>
          </w:tcPr>
          <w:p w:rsidR="0076765D" w:rsidRDefault="0076765D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Перемены в жизни</w:t>
            </w:r>
          </w:p>
        </w:tc>
        <w:tc>
          <w:tcPr>
            <w:tcW w:w="3115" w:type="dxa"/>
          </w:tcPr>
          <w:p w:rsidR="0076765D" w:rsidRPr="00B97141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ребенок с ранним детским аутизмом, как правило, резко сопротивляется любым переменам в жизни, не желает видеть новшеств невзирая на то, что они могут сделать жизнь более комфортной – пусть бы было все как есть. </w:t>
            </w:r>
          </w:p>
        </w:tc>
        <w:tc>
          <w:tcPr>
            <w:tcW w:w="3115" w:type="dxa"/>
          </w:tcPr>
          <w:p w:rsidR="0076765D" w:rsidRPr="00B97141" w:rsidRDefault="0076765D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65D">
              <w:rPr>
                <w:rFonts w:ascii="Times New Roman" w:hAnsi="Times New Roman" w:cs="Times New Roman"/>
                <w:sz w:val="24"/>
                <w:szCs w:val="24"/>
              </w:rPr>
              <w:t>В то же время ребенок с СДВГ также может испытывать трудности в переменах, однако с ним можно договориться, прийти к какому-то компромиссу, настроить на позитивный лад;</w:t>
            </w:r>
          </w:p>
        </w:tc>
      </w:tr>
      <w:tr w:rsidR="00B97141" w:rsidRPr="00B97141" w:rsidTr="00B97141">
        <w:tc>
          <w:tcPr>
            <w:tcW w:w="3115" w:type="dxa"/>
          </w:tcPr>
          <w:p w:rsidR="00B97141" w:rsidRPr="00B97141" w:rsidRDefault="00B97141" w:rsidP="00B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кусовые, обонятельные и тактильные реакции 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t xml:space="preserve">могут стать серьезной проблемой для родителей детей с ранним детским аутизмом: дети могут быть озабочены ощупыванием, </w:t>
            </w:r>
            <w:r w:rsidRPr="00B971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обнюхиванием или исследованием на вкус предметов или людей, могут игнорировать боль – все это может привести не только к конфузу, но и вполне опасным для жизни случаям</w:t>
            </w:r>
          </w:p>
        </w:tc>
        <w:tc>
          <w:tcPr>
            <w:tcW w:w="3115" w:type="dxa"/>
          </w:tcPr>
          <w:p w:rsidR="00B97141" w:rsidRPr="00B97141" w:rsidRDefault="00B97141" w:rsidP="007676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1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</w:t>
            </w:r>
            <w:proofErr w:type="spellStart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>СДВГэшек</w:t>
            </w:r>
            <w:proofErr w:type="spellEnd"/>
            <w:r w:rsidRPr="00B97141">
              <w:rPr>
                <w:rFonts w:ascii="Times New Roman" w:hAnsi="Times New Roman" w:cs="Times New Roman"/>
                <w:sz w:val="24"/>
                <w:szCs w:val="24"/>
              </w:rPr>
              <w:t xml:space="preserve"> больше характерна реакция на болевые раздражители (игнорирование боли или повышенная реакция на </w:t>
            </w:r>
            <w:r w:rsidRPr="00B971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легкую боль), при этом особенности вкусового, обонятельного или тактильного поведения не характерны</w:t>
            </w:r>
          </w:p>
        </w:tc>
      </w:tr>
    </w:tbl>
    <w:p w:rsidR="00B97141" w:rsidRDefault="00B97141" w:rsidP="00B97141">
      <w:pPr>
        <w:jc w:val="center"/>
      </w:pPr>
    </w:p>
    <w:sectPr w:rsidR="00B97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141"/>
    <w:rsid w:val="0076765D"/>
    <w:rsid w:val="00A1462A"/>
    <w:rsid w:val="00B9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B1D5"/>
  <w15:chartTrackingRefBased/>
  <w15:docId w15:val="{574C771B-1B73-4117-9505-8E301C028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7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2022-12-01T18:52:00Z</dcterms:created>
  <dcterms:modified xsi:type="dcterms:W3CDTF">2022-12-01T19:10:00Z</dcterms:modified>
</cp:coreProperties>
</file>