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210" w:rsidRPr="007A4210" w:rsidRDefault="007A4210" w:rsidP="007A4210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7A4210">
        <w:rPr>
          <w:b/>
          <w:sz w:val="28"/>
          <w:szCs w:val="28"/>
        </w:rPr>
        <w:t>Семинар «Проблемы хранения и утилизации ТБО на примере Волгоградской области»</w:t>
      </w:r>
    </w:p>
    <w:p w:rsidR="007A4210" w:rsidRPr="007A4210" w:rsidRDefault="007A4210" w:rsidP="007A4210">
      <w:pPr>
        <w:rPr>
          <w:sz w:val="28"/>
          <w:szCs w:val="28"/>
        </w:rPr>
      </w:pPr>
    </w:p>
    <w:p w:rsidR="007A4210" w:rsidRPr="007A4210" w:rsidRDefault="007A4210" w:rsidP="007A421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7A4210">
        <w:rPr>
          <w:sz w:val="28"/>
          <w:szCs w:val="28"/>
        </w:rPr>
        <w:t xml:space="preserve">.Используя данные таблицы 13.2. (С.164) </w:t>
      </w:r>
      <w:proofErr w:type="spellStart"/>
      <w:r w:rsidRPr="007A4210">
        <w:rPr>
          <w:sz w:val="28"/>
          <w:szCs w:val="28"/>
        </w:rPr>
        <w:t>Госдоклада</w:t>
      </w:r>
      <w:proofErr w:type="spellEnd"/>
      <w:r w:rsidRPr="007A4210">
        <w:rPr>
          <w:sz w:val="28"/>
          <w:szCs w:val="28"/>
        </w:rPr>
        <w:t xml:space="preserve">, составьте картосхему размещения свалок как действующих, так и закрытых </w:t>
      </w:r>
      <w:proofErr w:type="gramStart"/>
      <w:r w:rsidRPr="007A4210">
        <w:rPr>
          <w:sz w:val="28"/>
          <w:szCs w:val="28"/>
        </w:rPr>
        <w:t>по  отдельным</w:t>
      </w:r>
      <w:proofErr w:type="gramEnd"/>
      <w:r w:rsidRPr="007A4210">
        <w:rPr>
          <w:sz w:val="28"/>
          <w:szCs w:val="28"/>
        </w:rPr>
        <w:t xml:space="preserve"> районам Волгоградской области (без учета городов). Для закрытых полигонов используйте зеленую окраску, для действующих – оттенки красного и коричневого цветов. Классификация: действует от 1 до 10 – светло-красный, от 11 до 20 – красный, от 21 до 30 – светло-коричневый; свыше 31 – темно-коричневый.</w:t>
      </w:r>
    </w:p>
    <w:p w:rsidR="007A4210" w:rsidRPr="007A4210" w:rsidRDefault="007A4210" w:rsidP="007A4210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A4210">
        <w:rPr>
          <w:sz w:val="28"/>
          <w:szCs w:val="28"/>
        </w:rPr>
        <w:t xml:space="preserve">.Выполните схему организации и функционирования </w:t>
      </w:r>
      <w:proofErr w:type="gramStart"/>
      <w:r w:rsidRPr="007A4210">
        <w:rPr>
          <w:sz w:val="28"/>
          <w:szCs w:val="28"/>
        </w:rPr>
        <w:t>полигона  ТБО</w:t>
      </w:r>
      <w:proofErr w:type="gramEnd"/>
      <w:r w:rsidRPr="007A4210">
        <w:rPr>
          <w:sz w:val="28"/>
          <w:szCs w:val="28"/>
        </w:rPr>
        <w:t xml:space="preserve">, согласно СНиП. </w:t>
      </w:r>
    </w:p>
    <w:p w:rsidR="007A4210" w:rsidRDefault="007A4210" w:rsidP="007A4210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A4210">
        <w:rPr>
          <w:sz w:val="28"/>
          <w:szCs w:val="28"/>
        </w:rPr>
        <w:t xml:space="preserve">.Используя СП-01, охарактеризуйте общие положения, принципы устройства и санитарно-гигиенической эксплуатации и безопасности полигонов ТБО. </w:t>
      </w:r>
    </w:p>
    <w:p w:rsidR="00AB0195" w:rsidRDefault="00AB0195" w:rsidP="007A4210">
      <w:pPr>
        <w:jc w:val="both"/>
        <w:rPr>
          <w:sz w:val="28"/>
          <w:szCs w:val="28"/>
        </w:rPr>
      </w:pPr>
    </w:p>
    <w:p w:rsidR="00AB0195" w:rsidRPr="00AB0195" w:rsidRDefault="00AB0195" w:rsidP="00AB01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Задания выполнить от руки в тетради, сфотографировать или отсканировать и выслать на проверку!</w:t>
      </w:r>
    </w:p>
    <w:p w:rsidR="004B7CD3" w:rsidRDefault="004B7CD3"/>
    <w:sectPr w:rsidR="004B7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CD3"/>
    <w:rsid w:val="004B7CD3"/>
    <w:rsid w:val="007A4210"/>
    <w:rsid w:val="00843516"/>
    <w:rsid w:val="00AB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FBFE22-2E98-452F-A79D-2D3147775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2020-03-19T21:41:00Z</dcterms:created>
  <dcterms:modified xsi:type="dcterms:W3CDTF">2020-03-19T21:41:00Z</dcterms:modified>
</cp:coreProperties>
</file>