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 w:firstLine="0" w:left="-540"/>
        <w:jc w:val="center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Примеры библиографического описания</w:t>
      </w:r>
    </w:p>
    <w:p w14:paraId="02000000"/>
    <w:p w14:paraId="03000000">
      <w:pPr>
        <w:ind w:firstLine="0" w:left="-540"/>
        <w:rPr>
          <w:b w:val="1"/>
          <w:sz w:val="18"/>
          <w:u w:val="single"/>
        </w:rPr>
      </w:pPr>
      <w:r>
        <w:rPr>
          <w:b w:val="1"/>
          <w:sz w:val="18"/>
          <w:u w:val="single"/>
        </w:rPr>
        <w:t>Книга</w:t>
      </w:r>
      <w:r>
        <w:rPr>
          <w:b w:val="1"/>
          <w:sz w:val="18"/>
          <w:u w:val="single"/>
        </w:rPr>
        <w:t xml:space="preserve"> одного автора:</w:t>
      </w:r>
    </w:p>
    <w:p w14:paraId="04000000">
      <w:pPr>
        <w:ind/>
        <w:jc w:val="center"/>
        <w:rPr>
          <w:sz w:val="18"/>
        </w:rPr>
      </w:pPr>
    </w:p>
    <w:p w14:paraId="05000000">
      <w:pPr>
        <w:ind w:firstLine="0" w:left="-540"/>
        <w:jc w:val="both"/>
        <w:rPr>
          <w:sz w:val="18"/>
        </w:rPr>
      </w:pPr>
      <w:r>
        <w:rPr>
          <w:sz w:val="18"/>
        </w:rPr>
        <w:t xml:space="preserve">Перевалова, С. В. </w:t>
      </w:r>
      <w:r>
        <w:rPr>
          <w:sz w:val="18"/>
        </w:rPr>
        <w:t>Проза В. Маканина</w:t>
      </w:r>
      <w:r>
        <w:rPr>
          <w:sz w:val="18"/>
        </w:rPr>
        <w:t>: т</w:t>
      </w:r>
      <w:r>
        <w:rPr>
          <w:sz w:val="18"/>
        </w:rPr>
        <w:t>радиция и эволюция : учеб. пособие по спецкурсу / С. В. Перев</w:t>
      </w:r>
      <w:r>
        <w:rPr>
          <w:sz w:val="18"/>
        </w:rPr>
        <w:t xml:space="preserve">алова. </w:t>
      </w:r>
      <w:r>
        <w:rPr>
          <w:sz w:val="18"/>
        </w:rPr>
        <w:t>− Волгоград : Перемена, 2003.</w:t>
      </w:r>
      <w:r>
        <w:rPr>
          <w:sz w:val="18"/>
        </w:rPr>
        <w:t xml:space="preserve"> </w:t>
      </w:r>
      <w:r>
        <w:rPr>
          <w:sz w:val="18"/>
        </w:rPr>
        <w:t>− 117 с.</w:t>
      </w:r>
    </w:p>
    <w:p w14:paraId="06000000">
      <w:pPr>
        <w:ind w:firstLine="0" w:left="-540"/>
        <w:rPr>
          <w:sz w:val="18"/>
        </w:rPr>
      </w:pPr>
    </w:p>
    <w:p w14:paraId="07000000">
      <w:pPr>
        <w:ind w:firstLine="0" w:left="-540"/>
        <w:rPr>
          <w:b w:val="1"/>
          <w:sz w:val="18"/>
          <w:u w:val="single"/>
        </w:rPr>
      </w:pPr>
      <w:r>
        <w:rPr>
          <w:b w:val="1"/>
          <w:sz w:val="18"/>
          <w:u w:val="single"/>
        </w:rPr>
        <w:t>Книга</w:t>
      </w:r>
      <w:r>
        <w:rPr>
          <w:b w:val="1"/>
          <w:sz w:val="18"/>
          <w:u w:val="single"/>
        </w:rPr>
        <w:t xml:space="preserve"> двух авторов</w:t>
      </w:r>
      <w:r>
        <w:rPr>
          <w:b w:val="1"/>
          <w:sz w:val="18"/>
          <w:u w:val="single"/>
        </w:rPr>
        <w:t>:</w:t>
      </w:r>
    </w:p>
    <w:p w14:paraId="08000000">
      <w:pPr>
        <w:ind w:firstLine="0" w:left="-540"/>
        <w:jc w:val="center"/>
        <w:rPr>
          <w:b w:val="1"/>
          <w:sz w:val="18"/>
        </w:rPr>
      </w:pPr>
    </w:p>
    <w:p w14:paraId="09000000">
      <w:pPr>
        <w:ind w:firstLine="0" w:left="-540"/>
        <w:jc w:val="both"/>
        <w:rPr>
          <w:sz w:val="18"/>
        </w:rPr>
      </w:pPr>
      <w:r>
        <w:rPr>
          <w:sz w:val="18"/>
        </w:rPr>
        <w:t>Адельшина, Г. А.</w:t>
      </w:r>
      <w:r>
        <w:rPr>
          <w:sz w:val="18"/>
        </w:rPr>
        <w:t xml:space="preserve"> Генетика </w:t>
      </w:r>
      <w:r>
        <w:rPr>
          <w:sz w:val="18"/>
        </w:rPr>
        <w:t xml:space="preserve">в задачах </w:t>
      </w:r>
      <w:r>
        <w:rPr>
          <w:sz w:val="18"/>
        </w:rPr>
        <w:t xml:space="preserve">: учеб. пособие по курсу биологии / </w:t>
      </w:r>
      <w:r>
        <w:rPr>
          <w:sz w:val="18"/>
        </w:rPr>
        <w:t>Г. А. Адельшина, Ф. К. Адельшин</w:t>
      </w:r>
      <w:r>
        <w:rPr>
          <w:sz w:val="18"/>
        </w:rPr>
        <w:t xml:space="preserve">. </w:t>
      </w:r>
      <w:r>
        <w:rPr>
          <w:sz w:val="18"/>
        </w:rPr>
        <w:t>−</w:t>
      </w:r>
      <w:r>
        <w:rPr>
          <w:sz w:val="18"/>
        </w:rPr>
        <w:t xml:space="preserve"> 3-е изд., стер. – Москва : Планета, 2013. - 173 с.</w:t>
      </w:r>
    </w:p>
    <w:p w14:paraId="0A000000">
      <w:pPr>
        <w:ind w:firstLine="0" w:left="-540"/>
        <w:rPr>
          <w:sz w:val="18"/>
        </w:rPr>
      </w:pPr>
    </w:p>
    <w:p w14:paraId="0B000000">
      <w:pPr>
        <w:ind w:firstLine="0" w:left="-540"/>
        <w:rPr>
          <w:sz w:val="18"/>
        </w:rPr>
      </w:pPr>
      <w:r>
        <w:rPr>
          <w:b w:val="1"/>
          <w:sz w:val="18"/>
          <w:u w:val="single"/>
        </w:rPr>
        <w:t>Книга</w:t>
      </w:r>
      <w:r>
        <w:rPr>
          <w:b w:val="1"/>
          <w:sz w:val="18"/>
          <w:u w:val="single"/>
        </w:rPr>
        <w:t xml:space="preserve"> трех авторов</w:t>
      </w:r>
      <w:r>
        <w:rPr>
          <w:b w:val="1"/>
          <w:sz w:val="18"/>
          <w:u w:val="single"/>
        </w:rPr>
        <w:t>:</w:t>
      </w:r>
    </w:p>
    <w:p w14:paraId="0C000000">
      <w:pPr>
        <w:ind w:firstLine="0" w:left="-540"/>
        <w:jc w:val="center"/>
        <w:rPr>
          <w:b w:val="1"/>
          <w:sz w:val="18"/>
        </w:rPr>
      </w:pPr>
    </w:p>
    <w:p w14:paraId="0D000000">
      <w:pPr>
        <w:ind w:firstLine="0" w:left="-540"/>
        <w:jc w:val="both"/>
        <w:rPr>
          <w:sz w:val="18"/>
        </w:rPr>
      </w:pPr>
      <w:r>
        <w:rPr>
          <w:sz w:val="18"/>
        </w:rPr>
        <w:t>Толстяков, Р. Р.</w:t>
      </w:r>
      <w:r>
        <w:rPr>
          <w:sz w:val="18"/>
        </w:rPr>
        <w:t xml:space="preserve"> Информатика </w:t>
      </w:r>
      <w:r>
        <w:rPr>
          <w:sz w:val="18"/>
        </w:rPr>
        <w:t xml:space="preserve">: учеб. пособие для студентов-иностранцев, проходящих предвузовскую подготовку / </w:t>
      </w:r>
      <w:r>
        <w:rPr>
          <w:sz w:val="18"/>
        </w:rPr>
        <w:t>Р. Р. Толстяков, Т. Ю. Забавникова, Т. В. Попова</w:t>
      </w:r>
      <w:r>
        <w:rPr>
          <w:sz w:val="18"/>
        </w:rPr>
        <w:t xml:space="preserve">. </w:t>
      </w:r>
      <w:r>
        <w:rPr>
          <w:sz w:val="18"/>
        </w:rPr>
        <w:t xml:space="preserve">– </w:t>
      </w:r>
      <w:r>
        <w:rPr>
          <w:sz w:val="18"/>
        </w:rPr>
        <w:t xml:space="preserve">Москва : Флинта : Наука, </w:t>
      </w:r>
      <w:r>
        <w:rPr>
          <w:sz w:val="18"/>
        </w:rPr>
        <w:t xml:space="preserve">2012. </w:t>
      </w:r>
      <w:r>
        <w:rPr>
          <w:sz w:val="18"/>
        </w:rPr>
        <w:t>−</w:t>
      </w:r>
      <w:r>
        <w:rPr>
          <w:sz w:val="18"/>
        </w:rPr>
        <w:t xml:space="preserve"> 106 с.</w:t>
      </w:r>
    </w:p>
    <w:p w14:paraId="0E000000">
      <w:pPr>
        <w:ind w:firstLine="0" w:left="-540"/>
        <w:rPr>
          <w:sz w:val="18"/>
        </w:rPr>
      </w:pPr>
    </w:p>
    <w:p w14:paraId="0F000000">
      <w:pPr>
        <w:ind w:firstLine="0" w:left="-540"/>
        <w:rPr>
          <w:b w:val="1"/>
          <w:sz w:val="18"/>
          <w:u w:val="single"/>
        </w:rPr>
      </w:pPr>
      <w:r>
        <w:rPr>
          <w:b w:val="1"/>
          <w:sz w:val="18"/>
          <w:u w:val="single"/>
        </w:rPr>
        <w:t>Книга</w:t>
      </w:r>
      <w:r>
        <w:rPr>
          <w:b w:val="1"/>
          <w:sz w:val="18"/>
          <w:u w:val="single"/>
        </w:rPr>
        <w:t xml:space="preserve"> четырех </w:t>
      </w:r>
      <w:r>
        <w:rPr>
          <w:b w:val="1"/>
          <w:sz w:val="18"/>
          <w:u w:val="single"/>
        </w:rPr>
        <w:t xml:space="preserve">и более </w:t>
      </w:r>
      <w:r>
        <w:rPr>
          <w:b w:val="1"/>
          <w:sz w:val="18"/>
          <w:u w:val="single"/>
        </w:rPr>
        <w:t>авторов</w:t>
      </w:r>
      <w:r>
        <w:rPr>
          <w:b w:val="1"/>
          <w:sz w:val="18"/>
          <w:u w:val="single"/>
        </w:rPr>
        <w:t>:</w:t>
      </w:r>
    </w:p>
    <w:p w14:paraId="10000000">
      <w:pPr>
        <w:ind w:firstLine="0" w:left="-540"/>
        <w:jc w:val="center"/>
        <w:rPr>
          <w:b w:val="1"/>
          <w:sz w:val="18"/>
        </w:rPr>
      </w:pPr>
    </w:p>
    <w:p w14:paraId="11000000">
      <w:pPr>
        <w:ind w:firstLine="0" w:left="-540"/>
        <w:jc w:val="both"/>
        <w:rPr>
          <w:sz w:val="18"/>
        </w:rPr>
      </w:pPr>
      <w:r>
        <w:rPr>
          <w:sz w:val="18"/>
        </w:rPr>
        <w:t>Влияние рисков стратегического дрейфа на форсайт-развит</w:t>
      </w:r>
      <w:r>
        <w:rPr>
          <w:sz w:val="18"/>
        </w:rPr>
        <w:t xml:space="preserve">ие экономических систем </w:t>
      </w:r>
      <w:r>
        <w:rPr>
          <w:sz w:val="18"/>
        </w:rPr>
        <w:t xml:space="preserve">: монография / </w:t>
      </w:r>
      <w:r>
        <w:rPr>
          <w:sz w:val="18"/>
        </w:rPr>
        <w:t>Г. И. Сидунова [и др.]</w:t>
      </w:r>
      <w:r>
        <w:rPr>
          <w:sz w:val="18"/>
        </w:rPr>
        <w:t xml:space="preserve"> ;</w:t>
      </w:r>
      <w:r>
        <w:rPr>
          <w:sz w:val="18"/>
        </w:rPr>
        <w:t xml:space="preserve"> Волгогр. гос. соц.-пед. ун-т. </w:t>
      </w:r>
      <w:r>
        <w:rPr>
          <w:sz w:val="18"/>
        </w:rPr>
        <w:t>−</w:t>
      </w:r>
      <w:r>
        <w:rPr>
          <w:sz w:val="18"/>
        </w:rPr>
        <w:t xml:space="preserve"> Уфа : АЭТЕРНА, 2017. </w:t>
      </w:r>
      <w:r>
        <w:rPr>
          <w:sz w:val="18"/>
        </w:rPr>
        <w:t>−</w:t>
      </w:r>
      <w:r>
        <w:rPr>
          <w:sz w:val="18"/>
        </w:rPr>
        <w:t xml:space="preserve"> 173 с.</w:t>
      </w:r>
    </w:p>
    <w:p w14:paraId="12000000">
      <w:pPr>
        <w:ind w:firstLine="0" w:left="-540"/>
        <w:rPr>
          <w:sz w:val="18"/>
          <w:u w:val="single"/>
        </w:rPr>
      </w:pPr>
    </w:p>
    <w:p w14:paraId="13000000">
      <w:pPr>
        <w:ind w:firstLine="0" w:left="-540"/>
        <w:rPr>
          <w:sz w:val="18"/>
        </w:rPr>
      </w:pPr>
      <w:r>
        <w:rPr>
          <w:sz w:val="18"/>
          <w:u w:val="single"/>
        </w:rPr>
        <w:t>(</w:t>
      </w:r>
      <w:r>
        <w:rPr>
          <w:b w:val="1"/>
          <w:i w:val="1"/>
          <w:sz w:val="18"/>
          <w:u w:val="single"/>
        </w:rPr>
        <w:t>Авторы данного издания: Сидунова Г.И., Шохнех А.В., Смыковская Т.К., Гомаюнова Т.Ю., соответственно, библиографическая запись оформляется подобным образом</w:t>
      </w:r>
      <w:r>
        <w:rPr>
          <w:sz w:val="18"/>
        </w:rPr>
        <w:t>).</w:t>
      </w:r>
    </w:p>
    <w:p w14:paraId="14000000">
      <w:pPr>
        <w:ind w:firstLine="0" w:left="-540"/>
        <w:rPr>
          <w:b w:val="1"/>
          <w:sz w:val="18"/>
          <w:u w:val="single"/>
        </w:rPr>
      </w:pPr>
    </w:p>
    <w:p w14:paraId="15000000">
      <w:pPr>
        <w:ind w:firstLine="0" w:left="-540"/>
        <w:rPr>
          <w:sz w:val="18"/>
        </w:rPr>
      </w:pPr>
      <w:r>
        <w:rPr>
          <w:b w:val="1"/>
          <w:sz w:val="18"/>
          <w:u w:val="single"/>
        </w:rPr>
        <w:t>Книга</w:t>
      </w:r>
      <w:r>
        <w:rPr>
          <w:b w:val="1"/>
          <w:sz w:val="18"/>
          <w:u w:val="single"/>
        </w:rPr>
        <w:t xml:space="preserve"> под заглавием</w:t>
      </w:r>
      <w:r>
        <w:rPr>
          <w:b w:val="1"/>
          <w:sz w:val="18"/>
          <w:u w:val="single"/>
        </w:rPr>
        <w:t>:</w:t>
      </w:r>
    </w:p>
    <w:p w14:paraId="16000000">
      <w:pPr>
        <w:ind w:firstLine="0" w:left="-540"/>
        <w:jc w:val="center"/>
        <w:rPr>
          <w:sz w:val="18"/>
        </w:rPr>
      </w:pPr>
    </w:p>
    <w:p w14:paraId="17000000">
      <w:pPr>
        <w:ind w:firstLine="0" w:left="-540"/>
        <w:jc w:val="both"/>
        <w:rPr>
          <w:sz w:val="18"/>
        </w:rPr>
      </w:pPr>
      <w:r>
        <w:rPr>
          <w:sz w:val="18"/>
        </w:rPr>
        <w:t>Профилактика безнадзорности, беспризорности и правонарушений среди несовершеннолетних</w:t>
      </w:r>
      <w:r>
        <w:rPr>
          <w:sz w:val="18"/>
        </w:rPr>
        <w:t>: взаимодействие субъектов профилактики, комплексная работа органов управления образованием, система работы образовательного учреждения, нормативная документация / [авт.-сост. Е. П. К</w:t>
      </w:r>
      <w:r>
        <w:rPr>
          <w:sz w:val="18"/>
        </w:rPr>
        <w:t>артушина, Т. В. Романенко]. − Москва : Глобус, 2009. −</w:t>
      </w:r>
      <w:r>
        <w:rPr>
          <w:sz w:val="18"/>
        </w:rPr>
        <w:t xml:space="preserve"> 302 с.</w:t>
      </w:r>
    </w:p>
    <w:p w14:paraId="18000000">
      <w:pPr>
        <w:ind w:firstLine="0" w:left="-540"/>
        <w:jc w:val="both"/>
        <w:rPr>
          <w:sz w:val="18"/>
        </w:rPr>
      </w:pPr>
    </w:p>
    <w:p w14:paraId="19000000">
      <w:pPr>
        <w:ind w:firstLine="0" w:left="-540"/>
        <w:jc w:val="both"/>
        <w:rPr>
          <w:b w:val="1"/>
          <w:sz w:val="18"/>
          <w:u w:val="single"/>
        </w:rPr>
      </w:pPr>
      <w:r>
        <w:rPr>
          <w:b w:val="1"/>
          <w:sz w:val="18"/>
          <w:u w:val="single"/>
        </w:rPr>
        <w:t xml:space="preserve">Неопубликованные документы: </w:t>
      </w:r>
    </w:p>
    <w:p w14:paraId="1A000000">
      <w:pPr>
        <w:ind w:firstLine="0" w:left="-540"/>
        <w:jc w:val="both"/>
        <w:rPr>
          <w:b w:val="1"/>
          <w:sz w:val="18"/>
        </w:rPr>
      </w:pPr>
    </w:p>
    <w:p w14:paraId="1B000000">
      <w:pPr>
        <w:ind w:firstLine="0" w:left="-540"/>
        <w:jc w:val="both"/>
        <w:rPr>
          <w:sz w:val="18"/>
        </w:rPr>
      </w:pPr>
      <w:r>
        <w:rPr>
          <w:sz w:val="18"/>
        </w:rPr>
        <w:t>Шишова, Е. В.</w:t>
      </w:r>
      <w:r>
        <w:rPr>
          <w:sz w:val="18"/>
        </w:rPr>
        <w:t xml:space="preserve"> Дисфемия в современном российском и американско</w:t>
      </w:r>
      <w:r>
        <w:rPr>
          <w:sz w:val="18"/>
        </w:rPr>
        <w:t xml:space="preserve">м политическом дискурсе </w:t>
      </w:r>
      <w:r>
        <w:rPr>
          <w:sz w:val="18"/>
        </w:rPr>
        <w:t xml:space="preserve">: автореф. дис. ... канд. филол. наук / </w:t>
      </w:r>
      <w:r>
        <w:rPr>
          <w:sz w:val="18"/>
        </w:rPr>
        <w:t>Е. В. Шишова</w:t>
      </w:r>
      <w:r>
        <w:rPr>
          <w:sz w:val="18"/>
        </w:rPr>
        <w:t>. − Казань, 2017. − 26 с.</w:t>
      </w:r>
    </w:p>
    <w:p w14:paraId="1C000000">
      <w:pPr>
        <w:rPr>
          <w:sz w:val="18"/>
        </w:rPr>
      </w:pPr>
    </w:p>
    <w:p w14:paraId="1D000000">
      <w:pPr>
        <w:ind w:firstLine="0" w:left="-540"/>
        <w:rPr>
          <w:sz w:val="18"/>
        </w:rPr>
      </w:pPr>
      <w:r>
        <w:rPr>
          <w:b w:val="1"/>
          <w:sz w:val="18"/>
          <w:u w:val="single"/>
        </w:rPr>
        <w:t>Статья из сборника, книги</w:t>
      </w:r>
      <w:r>
        <w:rPr>
          <w:b w:val="1"/>
          <w:sz w:val="18"/>
          <w:u w:val="single"/>
        </w:rPr>
        <w:t>:</w:t>
      </w:r>
    </w:p>
    <w:p w14:paraId="1E000000">
      <w:pPr>
        <w:ind w:firstLine="0" w:left="-540"/>
        <w:jc w:val="center"/>
        <w:rPr>
          <w:sz w:val="18"/>
        </w:rPr>
      </w:pPr>
    </w:p>
    <w:p w14:paraId="1F000000">
      <w:pPr>
        <w:ind w:firstLine="0" w:left="-540"/>
        <w:jc w:val="both"/>
        <w:rPr>
          <w:sz w:val="18"/>
        </w:rPr>
      </w:pPr>
      <w:r>
        <w:rPr>
          <w:sz w:val="18"/>
        </w:rPr>
        <w:t>Супрун, В. И. Праславянское лексическ</w:t>
      </w:r>
      <w:r>
        <w:rPr>
          <w:sz w:val="18"/>
        </w:rPr>
        <w:t>ое наследство в донских говорах</w:t>
      </w:r>
      <w:r>
        <w:rPr>
          <w:sz w:val="18"/>
        </w:rPr>
        <w:t>: вопросы этнолингвистики и лингвогеографии / В. И. Супрун // Славянский вклад в мировую цивил</w:t>
      </w:r>
      <w:r>
        <w:rPr>
          <w:sz w:val="18"/>
        </w:rPr>
        <w:t>изацию : материалы Междунар.</w:t>
      </w:r>
      <w:r>
        <w:rPr>
          <w:sz w:val="18"/>
        </w:rPr>
        <w:t xml:space="preserve"> конф. Волгоград, 16-19 октября 2017 / </w:t>
      </w:r>
      <w:r>
        <w:rPr>
          <w:sz w:val="18"/>
        </w:rPr>
        <w:t xml:space="preserve">науч. ред. </w:t>
      </w:r>
      <w:r>
        <w:rPr>
          <w:sz w:val="18"/>
        </w:rPr>
        <w:t>Л. А. Шестак. −</w:t>
      </w:r>
      <w:r>
        <w:rPr>
          <w:sz w:val="18"/>
        </w:rPr>
        <w:t xml:space="preserve"> Волгоград</w:t>
      </w:r>
      <w:r>
        <w:rPr>
          <w:sz w:val="18"/>
        </w:rPr>
        <w:t xml:space="preserve">, 2017. – С. 39-50. </w:t>
      </w:r>
    </w:p>
    <w:p w14:paraId="20000000">
      <w:pPr>
        <w:ind w:firstLine="0" w:left="-540"/>
        <w:rPr>
          <w:sz w:val="18"/>
        </w:rPr>
      </w:pPr>
    </w:p>
    <w:p w14:paraId="21000000">
      <w:pPr>
        <w:ind w:firstLine="0" w:left="-540"/>
        <w:rPr>
          <w:sz w:val="18"/>
        </w:rPr>
      </w:pPr>
      <w:r>
        <w:rPr>
          <w:b w:val="1"/>
          <w:sz w:val="18"/>
          <w:u w:val="single"/>
        </w:rPr>
        <w:t>Глава из монографии</w:t>
      </w:r>
      <w:r>
        <w:rPr>
          <w:b w:val="1"/>
          <w:sz w:val="18"/>
          <w:u w:val="single"/>
        </w:rPr>
        <w:t>:</w:t>
      </w:r>
    </w:p>
    <w:p w14:paraId="22000000">
      <w:pPr>
        <w:ind w:firstLine="0" w:left="-540"/>
        <w:jc w:val="center"/>
        <w:rPr>
          <w:sz w:val="18"/>
        </w:rPr>
      </w:pPr>
    </w:p>
    <w:p w14:paraId="23000000">
      <w:pPr>
        <w:ind w:firstLine="0" w:left="-540"/>
        <w:jc w:val="both"/>
        <w:rPr>
          <w:sz w:val="18"/>
        </w:rPr>
      </w:pPr>
      <w:r>
        <w:rPr>
          <w:sz w:val="18"/>
        </w:rPr>
        <w:t>Панченко, Н. Н. Достоверность в коммуникативном поведении языковой личности / Н. Н. Панченко // Россия лингвистическая: научные направления и школы Волгограда : коллективная монограф</w:t>
      </w:r>
      <w:r>
        <w:rPr>
          <w:sz w:val="18"/>
        </w:rPr>
        <w:t xml:space="preserve">ия / Волгогр. гос. ун-т ; Волгогр. гос. соц.-пед. ун-т </w:t>
      </w:r>
      <w:r>
        <w:rPr>
          <w:sz w:val="18"/>
        </w:rPr>
        <w:t xml:space="preserve">; </w:t>
      </w:r>
      <w:r>
        <w:rPr>
          <w:sz w:val="18"/>
        </w:rPr>
        <w:t>В. И. Шаховский</w:t>
      </w:r>
      <w:r>
        <w:rPr>
          <w:sz w:val="18"/>
        </w:rPr>
        <w:t xml:space="preserve"> (отв. ред.)</w:t>
      </w:r>
      <w:r>
        <w:rPr>
          <w:sz w:val="18"/>
        </w:rPr>
        <w:t>, С. В. Ионова, А. А. Дь</w:t>
      </w:r>
      <w:r>
        <w:rPr>
          <w:sz w:val="18"/>
        </w:rPr>
        <w:t>якова. – Волгоград</w:t>
      </w:r>
      <w:r>
        <w:rPr>
          <w:sz w:val="18"/>
        </w:rPr>
        <w:t>, 2012. −</w:t>
      </w:r>
      <w:r>
        <w:rPr>
          <w:sz w:val="18"/>
        </w:rPr>
        <w:t xml:space="preserve"> </w:t>
      </w:r>
      <w:r>
        <w:rPr>
          <w:sz w:val="18"/>
        </w:rPr>
        <w:t xml:space="preserve">Гл. 2. </w:t>
      </w:r>
      <w:r>
        <w:rPr>
          <w:sz w:val="18"/>
        </w:rPr>
        <w:t>−</w:t>
      </w:r>
      <w:r>
        <w:rPr>
          <w:sz w:val="18"/>
        </w:rPr>
        <w:t xml:space="preserve"> </w:t>
      </w:r>
      <w:r>
        <w:rPr>
          <w:sz w:val="18"/>
        </w:rPr>
        <w:t xml:space="preserve">С. 262-283. </w:t>
      </w:r>
    </w:p>
    <w:p w14:paraId="24000000">
      <w:pPr>
        <w:ind w:firstLine="0" w:left="-540"/>
        <w:rPr>
          <w:sz w:val="18"/>
        </w:rPr>
      </w:pPr>
    </w:p>
    <w:p w14:paraId="25000000">
      <w:pPr>
        <w:ind w:firstLine="0" w:left="-540"/>
        <w:rPr>
          <w:sz w:val="18"/>
        </w:rPr>
      </w:pPr>
      <w:r>
        <w:rPr>
          <w:b w:val="1"/>
          <w:sz w:val="18"/>
          <w:u w:val="single"/>
        </w:rPr>
        <w:t>Статья из периодического издания</w:t>
      </w:r>
    </w:p>
    <w:p w14:paraId="26000000">
      <w:pPr>
        <w:ind/>
        <w:jc w:val="center"/>
        <w:rPr>
          <w:b w:val="1"/>
          <w:sz w:val="18"/>
          <w:u w:val="single"/>
        </w:rPr>
      </w:pPr>
    </w:p>
    <w:p w14:paraId="27000000">
      <w:pPr>
        <w:ind w:firstLine="0" w:left="-540"/>
        <w:jc w:val="both"/>
        <w:rPr>
          <w:sz w:val="18"/>
        </w:rPr>
      </w:pPr>
      <w:r>
        <w:rPr>
          <w:sz w:val="18"/>
        </w:rPr>
        <w:t>Карслиева, Д. К. Время как глобальная культурная проблема в романе Йена Макьюэна «Дитя во времени» / Д. К. Карслиева // Известия Волгоградского государственного</w:t>
      </w:r>
      <w:r>
        <w:rPr>
          <w:sz w:val="18"/>
        </w:rPr>
        <w:t xml:space="preserve"> педагогического университета. − 2015. − № 8 (103). −</w:t>
      </w:r>
      <w:r>
        <w:rPr>
          <w:sz w:val="18"/>
        </w:rPr>
        <w:t xml:space="preserve"> С. 158-162. </w:t>
      </w:r>
    </w:p>
    <w:p w14:paraId="28000000">
      <w:pPr>
        <w:ind w:firstLine="0" w:left="-540"/>
        <w:rPr>
          <w:sz w:val="18"/>
        </w:rPr>
      </w:pPr>
    </w:p>
    <w:p w14:paraId="29000000">
      <w:pPr>
        <w:ind w:firstLine="0" w:left="-540"/>
        <w:jc w:val="both"/>
        <w:rPr>
          <w:sz w:val="18"/>
        </w:rPr>
      </w:pPr>
      <w:r>
        <w:rPr>
          <w:sz w:val="18"/>
        </w:rPr>
        <w:t>Орлова, Г. А.</w:t>
      </w:r>
      <w:r>
        <w:rPr>
          <w:sz w:val="18"/>
        </w:rPr>
        <w:t xml:space="preserve"> Духовно-нравственное стано</w:t>
      </w:r>
      <w:r>
        <w:rPr>
          <w:sz w:val="18"/>
        </w:rPr>
        <w:t xml:space="preserve">вление личности учителя </w:t>
      </w:r>
      <w:r>
        <w:rPr>
          <w:sz w:val="18"/>
        </w:rPr>
        <w:t xml:space="preserve">/ </w:t>
      </w:r>
      <w:r>
        <w:rPr>
          <w:sz w:val="18"/>
        </w:rPr>
        <w:t>Г. А. Орлова, Е. О.</w:t>
      </w:r>
      <w:r>
        <w:rPr>
          <w:b w:val="1"/>
          <w:sz w:val="18"/>
        </w:rPr>
        <w:t xml:space="preserve"> </w:t>
      </w:r>
      <w:r>
        <w:rPr>
          <w:sz w:val="18"/>
        </w:rPr>
        <w:t>Орлова</w:t>
      </w:r>
      <w:r>
        <w:rPr>
          <w:sz w:val="18"/>
        </w:rPr>
        <w:t xml:space="preserve"> // Педаг</w:t>
      </w:r>
      <w:r>
        <w:rPr>
          <w:sz w:val="18"/>
        </w:rPr>
        <w:t>огическое образование и наука. − 2008. − № 5. −</w:t>
      </w:r>
      <w:r>
        <w:rPr>
          <w:sz w:val="18"/>
        </w:rPr>
        <w:t xml:space="preserve"> С. 73-76. </w:t>
      </w:r>
    </w:p>
    <w:p w14:paraId="2A000000">
      <w:pPr>
        <w:ind w:firstLine="0" w:left="-540"/>
        <w:rPr>
          <w:sz w:val="18"/>
        </w:rPr>
      </w:pPr>
    </w:p>
    <w:p w14:paraId="2B000000">
      <w:pPr>
        <w:ind w:firstLine="0" w:left="-540"/>
        <w:jc w:val="both"/>
        <w:rPr>
          <w:sz w:val="18"/>
        </w:rPr>
      </w:pPr>
      <w:r>
        <w:rPr>
          <w:sz w:val="18"/>
        </w:rPr>
        <w:t>Об интеллектуализации информационных систем и технологических процессов в учреждениях среднего профес</w:t>
      </w:r>
      <w:r>
        <w:rPr>
          <w:sz w:val="18"/>
        </w:rPr>
        <w:t xml:space="preserve">сионального образования </w:t>
      </w:r>
      <w:r>
        <w:rPr>
          <w:sz w:val="18"/>
        </w:rPr>
        <w:t xml:space="preserve">/ </w:t>
      </w:r>
      <w:r>
        <w:rPr>
          <w:sz w:val="18"/>
        </w:rPr>
        <w:t>А. В. Морозов [и др.]</w:t>
      </w:r>
      <w:r>
        <w:rPr>
          <w:sz w:val="18"/>
        </w:rPr>
        <w:t xml:space="preserve"> </w:t>
      </w:r>
      <w:r>
        <w:rPr>
          <w:sz w:val="18"/>
        </w:rPr>
        <w:t>// Педагогическая информатика. − 2017. − № 4. −</w:t>
      </w:r>
      <w:r>
        <w:rPr>
          <w:sz w:val="18"/>
        </w:rPr>
        <w:t xml:space="preserve"> С. 67-76.</w:t>
      </w:r>
    </w:p>
    <w:p w14:paraId="2C000000">
      <w:pPr>
        <w:ind w:firstLine="0" w:left="-540"/>
        <w:rPr>
          <w:sz w:val="18"/>
        </w:rPr>
      </w:pPr>
    </w:p>
    <w:p w14:paraId="2D000000">
      <w:pPr>
        <w:ind w:firstLine="0" w:left="-540"/>
        <w:rPr>
          <w:b w:val="1"/>
          <w:sz w:val="18"/>
          <w:u w:val="single"/>
        </w:rPr>
      </w:pPr>
      <w:r>
        <w:rPr>
          <w:b w:val="1"/>
          <w:sz w:val="18"/>
          <w:u w:val="single"/>
        </w:rPr>
        <w:t>Электронный ресурс удаленного доступа</w:t>
      </w:r>
    </w:p>
    <w:p w14:paraId="2E000000">
      <w:pPr>
        <w:ind w:firstLine="0" w:left="-540"/>
        <w:jc w:val="center"/>
        <w:rPr>
          <w:b w:val="1"/>
          <w:sz w:val="18"/>
          <w:u w:val="single"/>
        </w:rPr>
      </w:pPr>
    </w:p>
    <w:p w14:paraId="2F000000">
      <w:pPr>
        <w:ind w:firstLine="0" w:left="-540"/>
        <w:jc w:val="both"/>
        <w:rPr>
          <w:sz w:val="18"/>
        </w:rPr>
      </w:pPr>
      <w:r>
        <w:rPr>
          <w:sz w:val="18"/>
        </w:rPr>
        <w:t>Юровская, М. А.</w:t>
      </w:r>
      <w:r>
        <w:rPr>
          <w:sz w:val="18"/>
        </w:rPr>
        <w:t xml:space="preserve"> Основы органической химии [Электронный ресурс] : учеб. пособие / </w:t>
      </w:r>
      <w:r>
        <w:rPr>
          <w:sz w:val="18"/>
        </w:rPr>
        <w:t>М. А. Юровская, А. В. Куркин</w:t>
      </w:r>
      <w:r>
        <w:rPr>
          <w:sz w:val="18"/>
        </w:rPr>
        <w:t>. − Электрон. д</w:t>
      </w:r>
      <w:r>
        <w:rPr>
          <w:sz w:val="18"/>
        </w:rPr>
        <w:t>ан. − Москва : Лаборатория знаний</w:t>
      </w:r>
      <w:r>
        <w:rPr>
          <w:sz w:val="18"/>
        </w:rPr>
        <w:t>, 2015. − 239 с. − Режим доступа: htt</w:t>
      </w:r>
      <w:r>
        <w:rPr>
          <w:sz w:val="18"/>
        </w:rPr>
        <w:t>ps://e.lanbook.com/book/66365. −</w:t>
      </w:r>
      <w:r>
        <w:rPr>
          <w:sz w:val="18"/>
        </w:rPr>
        <w:t xml:space="preserve"> Загл. с </w:t>
      </w:r>
      <w:r>
        <w:rPr>
          <w:sz w:val="18"/>
        </w:rPr>
        <w:t>экрана.</w:t>
      </w:r>
    </w:p>
    <w:p w14:paraId="30000000">
      <w:pPr>
        <w:ind w:firstLine="0" w:left="-540"/>
        <w:jc w:val="both"/>
        <w:rPr>
          <w:b w:val="1"/>
        </w:rPr>
      </w:pPr>
    </w:p>
    <w:p w14:paraId="31000000">
      <w:pPr>
        <w:ind w:firstLine="0" w:left="-540"/>
        <w:jc w:val="both"/>
        <w:rPr>
          <w:b w:val="1"/>
          <w:sz w:val="18"/>
          <w:u w:val="single"/>
        </w:rPr>
      </w:pPr>
      <w:r>
        <w:rPr>
          <w:b w:val="1"/>
          <w:sz w:val="18"/>
          <w:u w:val="single"/>
        </w:rPr>
        <w:t>Законы, постановления</w:t>
      </w:r>
    </w:p>
    <w:p w14:paraId="32000000">
      <w:pPr>
        <w:tabs>
          <w:tab w:leader="none" w:pos="540" w:val="left"/>
        </w:tabs>
        <w:ind w:firstLine="0" w:left="-540"/>
        <w:rPr>
          <w:b w:val="1"/>
          <w:sz w:val="18"/>
        </w:rPr>
      </w:pPr>
      <w:r>
        <w:rPr>
          <w:sz w:val="18"/>
        </w:rPr>
        <w:t>Российская Федерация. Законы.</w:t>
      </w:r>
      <w:r>
        <w:rPr>
          <w:sz w:val="18"/>
        </w:rPr>
        <w:t xml:space="preserve"> Семейный кодекс Российской Фе</w:t>
      </w:r>
      <w:r>
        <w:rPr>
          <w:sz w:val="18"/>
        </w:rPr>
        <w:t xml:space="preserve">дерации [Текст] : [федер. закон : принят Гос. Думой 8 дек. </w:t>
      </w:r>
      <w:r>
        <w:rPr>
          <w:sz w:val="18"/>
        </w:rPr>
        <w:t>1995 г</w:t>
      </w:r>
      <w:r>
        <w:rPr>
          <w:sz w:val="18"/>
        </w:rPr>
        <w:t xml:space="preserve">. : по состоянию на 3 янв. </w:t>
      </w:r>
      <w:r>
        <w:rPr>
          <w:sz w:val="18"/>
        </w:rPr>
        <w:t>2001 г</w:t>
      </w:r>
      <w:r>
        <w:rPr>
          <w:sz w:val="18"/>
        </w:rPr>
        <w:t>.]. – СПб. : Victory : Стаун-кантри, 2001. – 94, [1] с.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sz w:val="24"/>
    </w:rPr>
  </w:style>
  <w:style w:default="1" w:styleId="Style_1_ch" w:type="character">
    <w:name w:val="Normal"/>
    <w:link w:val="Style_1"/>
    <w:rPr>
      <w:sz w:val="24"/>
    </w:rPr>
  </w:style>
  <w:style w:styleId="Style_2" w:type="paragraph">
    <w:name w:val="Default Paragraph Font"/>
    <w:link w:val="Style_2_ch"/>
  </w:style>
  <w:style w:styleId="Style_2_ch" w:type="character">
    <w:name w:val="Default Paragraph Font"/>
    <w:link w:val="Style_2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2022-09-06T16:39:03Z</dcterms:modified>
</cp:coreProperties>
</file>