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D2C" w:rsidRPr="0008374A" w:rsidRDefault="00791D2C" w:rsidP="0008374A">
      <w:pPr>
        <w:spacing w:after="0" w:line="360" w:lineRule="auto"/>
        <w:ind w:firstLine="709"/>
        <w:jc w:val="both"/>
        <w:rPr>
          <w:rFonts w:ascii="Times New Roman" w:hAnsi="Times New Roman"/>
          <w:sz w:val="28"/>
          <w:szCs w:val="28"/>
        </w:rPr>
      </w:pPr>
    </w:p>
    <w:p w:rsidR="00791D2C" w:rsidRPr="00EB7EDB" w:rsidRDefault="00791D2C" w:rsidP="009D1B47">
      <w:pPr>
        <w:spacing w:after="0" w:line="240" w:lineRule="auto"/>
        <w:ind w:firstLine="709"/>
        <w:jc w:val="center"/>
        <w:rPr>
          <w:rFonts w:ascii="Times New Roman" w:hAnsi="Times New Roman"/>
          <w:b/>
          <w:sz w:val="28"/>
          <w:szCs w:val="28"/>
        </w:rPr>
      </w:pPr>
      <w:r w:rsidRPr="00EB7EDB">
        <w:rPr>
          <w:rFonts w:ascii="Times New Roman" w:hAnsi="Times New Roman"/>
          <w:b/>
          <w:sz w:val="28"/>
          <w:szCs w:val="28"/>
        </w:rPr>
        <w:t>Федеральное государственное бюджетное образовательное учреждение</w:t>
      </w:r>
    </w:p>
    <w:p w:rsidR="00791D2C" w:rsidRPr="00EB7EDB" w:rsidRDefault="00791D2C" w:rsidP="009D1B47">
      <w:pPr>
        <w:spacing w:after="0" w:line="240" w:lineRule="auto"/>
        <w:ind w:firstLine="709"/>
        <w:jc w:val="center"/>
        <w:rPr>
          <w:rFonts w:ascii="Times New Roman" w:hAnsi="Times New Roman"/>
          <w:b/>
          <w:sz w:val="28"/>
          <w:szCs w:val="28"/>
        </w:rPr>
      </w:pPr>
      <w:r w:rsidRPr="00EB7EDB">
        <w:rPr>
          <w:rFonts w:ascii="Times New Roman" w:hAnsi="Times New Roman"/>
          <w:b/>
          <w:sz w:val="28"/>
          <w:szCs w:val="28"/>
        </w:rPr>
        <w:t>высшего образования</w:t>
      </w:r>
    </w:p>
    <w:p w:rsidR="00791D2C" w:rsidRPr="0008374A" w:rsidRDefault="00791D2C" w:rsidP="009D1B47">
      <w:pPr>
        <w:spacing w:after="0" w:line="240" w:lineRule="auto"/>
        <w:ind w:firstLine="709"/>
        <w:jc w:val="center"/>
        <w:rPr>
          <w:rFonts w:ascii="Times New Roman" w:hAnsi="Times New Roman"/>
          <w:sz w:val="28"/>
          <w:szCs w:val="28"/>
        </w:rPr>
      </w:pPr>
      <w:r w:rsidRPr="0008374A">
        <w:rPr>
          <w:rFonts w:ascii="Times New Roman" w:hAnsi="Times New Roman"/>
          <w:sz w:val="28"/>
          <w:szCs w:val="28"/>
        </w:rPr>
        <w:t>«Волгоградский государственный социально-педагогический университет»</w:t>
      </w:r>
    </w:p>
    <w:p w:rsidR="00791D2C" w:rsidRPr="00EB7EDB" w:rsidRDefault="00791D2C" w:rsidP="009D1B47">
      <w:pPr>
        <w:spacing w:after="0" w:line="240" w:lineRule="auto"/>
        <w:ind w:firstLine="709"/>
        <w:jc w:val="center"/>
        <w:rPr>
          <w:rFonts w:ascii="Times New Roman" w:hAnsi="Times New Roman"/>
          <w:b/>
          <w:sz w:val="28"/>
          <w:szCs w:val="28"/>
        </w:rPr>
      </w:pPr>
      <w:r w:rsidRPr="00EB7EDB">
        <w:rPr>
          <w:rFonts w:ascii="Times New Roman" w:hAnsi="Times New Roman"/>
          <w:b/>
          <w:sz w:val="28"/>
          <w:szCs w:val="28"/>
        </w:rPr>
        <w:t>(ФГБОУ ВО «ВГСПУ»)</w:t>
      </w:r>
    </w:p>
    <w:p w:rsidR="00791D2C" w:rsidRDefault="00791D2C" w:rsidP="009D1B47">
      <w:pPr>
        <w:spacing w:after="0" w:line="240" w:lineRule="auto"/>
        <w:ind w:firstLine="709"/>
        <w:jc w:val="center"/>
        <w:rPr>
          <w:rFonts w:ascii="Times New Roman" w:hAnsi="Times New Roman"/>
          <w:b/>
          <w:sz w:val="28"/>
          <w:szCs w:val="28"/>
        </w:rPr>
      </w:pPr>
    </w:p>
    <w:p w:rsidR="00791D2C" w:rsidRPr="00EB7EDB" w:rsidRDefault="00791D2C" w:rsidP="009D1B47">
      <w:pPr>
        <w:spacing w:after="0" w:line="240" w:lineRule="auto"/>
        <w:ind w:firstLine="709"/>
        <w:jc w:val="center"/>
        <w:rPr>
          <w:rFonts w:ascii="Times New Roman" w:hAnsi="Times New Roman"/>
          <w:b/>
          <w:sz w:val="28"/>
          <w:szCs w:val="28"/>
        </w:rPr>
      </w:pPr>
      <w:r w:rsidRPr="00EB7EDB">
        <w:rPr>
          <w:rFonts w:ascii="Times New Roman" w:hAnsi="Times New Roman"/>
          <w:b/>
          <w:sz w:val="28"/>
          <w:szCs w:val="28"/>
        </w:rPr>
        <w:t>Факультет психолого – педагогического и социального образования</w:t>
      </w:r>
    </w:p>
    <w:p w:rsidR="00791D2C" w:rsidRDefault="00791D2C" w:rsidP="009D1B47">
      <w:pPr>
        <w:spacing w:after="0" w:line="240" w:lineRule="auto"/>
        <w:ind w:firstLine="709"/>
        <w:jc w:val="center"/>
        <w:rPr>
          <w:rFonts w:ascii="Times New Roman" w:hAnsi="Times New Roman"/>
          <w:b/>
          <w:sz w:val="28"/>
          <w:szCs w:val="28"/>
        </w:rPr>
      </w:pPr>
    </w:p>
    <w:p w:rsidR="00791D2C" w:rsidRPr="009D1B47" w:rsidRDefault="00791D2C" w:rsidP="009D1B47">
      <w:pPr>
        <w:spacing w:after="0" w:line="240" w:lineRule="auto"/>
        <w:ind w:firstLine="709"/>
        <w:jc w:val="center"/>
        <w:rPr>
          <w:rFonts w:ascii="Times New Roman" w:hAnsi="Times New Roman"/>
          <w:sz w:val="28"/>
          <w:szCs w:val="28"/>
        </w:rPr>
      </w:pPr>
      <w:r w:rsidRPr="009D1B47">
        <w:rPr>
          <w:rFonts w:ascii="Times New Roman" w:hAnsi="Times New Roman"/>
          <w:sz w:val="28"/>
          <w:szCs w:val="28"/>
        </w:rPr>
        <w:t>Кафедра социальной работы</w:t>
      </w:r>
    </w:p>
    <w:p w:rsidR="00791D2C" w:rsidRDefault="00791D2C" w:rsidP="009D1B47">
      <w:pPr>
        <w:spacing w:after="0" w:line="240" w:lineRule="auto"/>
        <w:ind w:firstLine="709"/>
        <w:jc w:val="center"/>
        <w:rPr>
          <w:rFonts w:ascii="Times New Roman" w:hAnsi="Times New Roman"/>
          <w:sz w:val="28"/>
          <w:szCs w:val="28"/>
        </w:rPr>
      </w:pPr>
    </w:p>
    <w:p w:rsidR="00791D2C" w:rsidRDefault="00791D2C" w:rsidP="009D1B47">
      <w:pPr>
        <w:spacing w:after="0" w:line="240" w:lineRule="auto"/>
        <w:ind w:firstLine="709"/>
        <w:jc w:val="center"/>
        <w:rPr>
          <w:rFonts w:ascii="Times New Roman" w:hAnsi="Times New Roman"/>
          <w:b/>
          <w:sz w:val="28"/>
          <w:szCs w:val="28"/>
        </w:rPr>
      </w:pPr>
    </w:p>
    <w:p w:rsidR="00791D2C" w:rsidRDefault="00791D2C" w:rsidP="009D1B47">
      <w:pPr>
        <w:spacing w:after="0" w:line="240" w:lineRule="auto"/>
        <w:ind w:firstLine="709"/>
        <w:jc w:val="center"/>
        <w:rPr>
          <w:rFonts w:ascii="Times New Roman" w:hAnsi="Times New Roman"/>
          <w:b/>
          <w:sz w:val="28"/>
          <w:szCs w:val="28"/>
        </w:rPr>
      </w:pPr>
    </w:p>
    <w:p w:rsidR="00791D2C" w:rsidRDefault="00791D2C" w:rsidP="009D1B47">
      <w:pPr>
        <w:spacing w:after="0" w:line="240" w:lineRule="auto"/>
        <w:ind w:firstLine="709"/>
        <w:jc w:val="center"/>
        <w:rPr>
          <w:rFonts w:ascii="Times New Roman" w:hAnsi="Times New Roman"/>
          <w:b/>
          <w:sz w:val="28"/>
          <w:szCs w:val="28"/>
        </w:rPr>
      </w:pPr>
    </w:p>
    <w:p w:rsidR="00791D2C" w:rsidRDefault="00791D2C" w:rsidP="009D1B47">
      <w:pPr>
        <w:spacing w:after="0" w:line="240" w:lineRule="auto"/>
        <w:ind w:firstLine="709"/>
        <w:jc w:val="center"/>
        <w:rPr>
          <w:rFonts w:ascii="Times New Roman" w:hAnsi="Times New Roman"/>
          <w:sz w:val="28"/>
          <w:szCs w:val="28"/>
        </w:rPr>
      </w:pPr>
      <w:r>
        <w:rPr>
          <w:rFonts w:ascii="Times New Roman" w:hAnsi="Times New Roman"/>
          <w:b/>
          <w:sz w:val="28"/>
          <w:szCs w:val="28"/>
        </w:rPr>
        <w:t>Материалы к занятию по д</w:t>
      </w:r>
      <w:r w:rsidRPr="009D1B47">
        <w:rPr>
          <w:rFonts w:ascii="Times New Roman" w:hAnsi="Times New Roman"/>
          <w:b/>
          <w:sz w:val="28"/>
          <w:szCs w:val="28"/>
        </w:rPr>
        <w:t>исциплин</w:t>
      </w:r>
      <w:r>
        <w:rPr>
          <w:rFonts w:ascii="Times New Roman" w:hAnsi="Times New Roman"/>
          <w:b/>
          <w:sz w:val="28"/>
          <w:szCs w:val="28"/>
        </w:rPr>
        <w:t xml:space="preserve">е </w:t>
      </w:r>
      <w:r>
        <w:rPr>
          <w:rFonts w:ascii="Times New Roman" w:hAnsi="Times New Roman"/>
          <w:sz w:val="28"/>
          <w:szCs w:val="28"/>
        </w:rPr>
        <w:t xml:space="preserve"> </w:t>
      </w:r>
    </w:p>
    <w:p w:rsidR="00791D2C" w:rsidRPr="0008374A" w:rsidRDefault="00791D2C" w:rsidP="009D1B47">
      <w:pPr>
        <w:spacing w:after="0" w:line="240" w:lineRule="auto"/>
        <w:ind w:firstLine="709"/>
        <w:jc w:val="center"/>
        <w:rPr>
          <w:rFonts w:ascii="Times New Roman" w:hAnsi="Times New Roman"/>
          <w:sz w:val="28"/>
          <w:szCs w:val="28"/>
        </w:rPr>
      </w:pPr>
      <w:r w:rsidRPr="0008374A">
        <w:rPr>
          <w:rFonts w:ascii="Times New Roman" w:hAnsi="Times New Roman"/>
          <w:sz w:val="28"/>
          <w:szCs w:val="28"/>
        </w:rPr>
        <w:t>«Современные направления научных исследовани</w:t>
      </w:r>
      <w:r>
        <w:rPr>
          <w:rFonts w:ascii="Times New Roman" w:hAnsi="Times New Roman"/>
          <w:sz w:val="28"/>
          <w:szCs w:val="28"/>
        </w:rPr>
        <w:t>й</w:t>
      </w:r>
      <w:r w:rsidRPr="0008374A">
        <w:rPr>
          <w:rFonts w:ascii="Times New Roman" w:hAnsi="Times New Roman"/>
          <w:sz w:val="28"/>
          <w:szCs w:val="28"/>
        </w:rPr>
        <w:t xml:space="preserve"> в социальной работе за рубежом»</w:t>
      </w:r>
    </w:p>
    <w:p w:rsidR="00791D2C" w:rsidRDefault="00791D2C" w:rsidP="009D1B47">
      <w:pPr>
        <w:spacing w:after="0" w:line="240" w:lineRule="auto"/>
        <w:ind w:firstLine="709"/>
        <w:jc w:val="center"/>
        <w:rPr>
          <w:rFonts w:ascii="Times New Roman" w:hAnsi="Times New Roman"/>
          <w:sz w:val="28"/>
          <w:szCs w:val="28"/>
        </w:rPr>
      </w:pPr>
    </w:p>
    <w:p w:rsidR="00791D2C" w:rsidRDefault="00791D2C" w:rsidP="009D1B47">
      <w:pPr>
        <w:spacing w:after="0" w:line="240" w:lineRule="auto"/>
        <w:ind w:firstLine="709"/>
        <w:jc w:val="center"/>
        <w:rPr>
          <w:rFonts w:ascii="Times New Roman" w:hAnsi="Times New Roman"/>
          <w:b/>
          <w:sz w:val="28"/>
          <w:szCs w:val="28"/>
        </w:rPr>
      </w:pPr>
    </w:p>
    <w:p w:rsidR="00791D2C" w:rsidRDefault="00791D2C" w:rsidP="009D1B47">
      <w:pPr>
        <w:spacing w:after="0" w:line="240" w:lineRule="auto"/>
        <w:ind w:firstLine="709"/>
        <w:jc w:val="center"/>
        <w:rPr>
          <w:rFonts w:ascii="Times New Roman" w:hAnsi="Times New Roman"/>
          <w:b/>
          <w:sz w:val="28"/>
          <w:szCs w:val="28"/>
        </w:rPr>
      </w:pPr>
    </w:p>
    <w:p w:rsidR="00791D2C" w:rsidRDefault="00791D2C" w:rsidP="009D1B47">
      <w:pPr>
        <w:spacing w:after="0" w:line="240" w:lineRule="auto"/>
        <w:ind w:firstLine="709"/>
        <w:jc w:val="center"/>
        <w:rPr>
          <w:rFonts w:ascii="Times New Roman" w:hAnsi="Times New Roman"/>
          <w:sz w:val="28"/>
          <w:szCs w:val="28"/>
        </w:rPr>
      </w:pPr>
      <w:r w:rsidRPr="009D1B47">
        <w:rPr>
          <w:rFonts w:ascii="Times New Roman" w:hAnsi="Times New Roman"/>
          <w:b/>
          <w:sz w:val="28"/>
          <w:szCs w:val="28"/>
        </w:rPr>
        <w:t>Тема</w:t>
      </w:r>
      <w:r>
        <w:rPr>
          <w:rFonts w:ascii="Times New Roman" w:hAnsi="Times New Roman"/>
          <w:sz w:val="28"/>
          <w:szCs w:val="28"/>
        </w:rPr>
        <w:t xml:space="preserve">  «Социальная модель Франции</w:t>
      </w:r>
      <w:r w:rsidRPr="0008374A">
        <w:rPr>
          <w:rFonts w:ascii="Times New Roman" w:hAnsi="Times New Roman"/>
          <w:sz w:val="28"/>
          <w:szCs w:val="28"/>
        </w:rPr>
        <w:t>»</w:t>
      </w:r>
    </w:p>
    <w:p w:rsidR="00791D2C" w:rsidRDefault="00791D2C" w:rsidP="009D1B47">
      <w:pPr>
        <w:spacing w:after="0" w:line="240" w:lineRule="auto"/>
        <w:ind w:firstLine="709"/>
        <w:jc w:val="center"/>
        <w:rPr>
          <w:rFonts w:ascii="Times New Roman" w:hAnsi="Times New Roman"/>
          <w:sz w:val="28"/>
          <w:szCs w:val="28"/>
        </w:rPr>
      </w:pPr>
    </w:p>
    <w:p w:rsidR="00791D2C" w:rsidRDefault="00791D2C" w:rsidP="009D1B47">
      <w:pPr>
        <w:spacing w:after="0" w:line="240" w:lineRule="auto"/>
        <w:ind w:firstLine="709"/>
        <w:jc w:val="center"/>
        <w:rPr>
          <w:rFonts w:ascii="Times New Roman" w:hAnsi="Times New Roman"/>
          <w:sz w:val="28"/>
          <w:szCs w:val="28"/>
        </w:rPr>
      </w:pPr>
      <w:r>
        <w:rPr>
          <w:rFonts w:ascii="Times New Roman" w:hAnsi="Times New Roman"/>
          <w:sz w:val="28"/>
          <w:szCs w:val="28"/>
        </w:rPr>
        <w:t>Думов Сергей Борисович</w:t>
      </w:r>
    </w:p>
    <w:p w:rsidR="00791D2C" w:rsidRPr="0008374A" w:rsidRDefault="00791D2C" w:rsidP="009D1B47">
      <w:pPr>
        <w:spacing w:after="0" w:line="240" w:lineRule="auto"/>
        <w:ind w:firstLine="709"/>
        <w:jc w:val="center"/>
        <w:rPr>
          <w:rFonts w:ascii="Times New Roman" w:hAnsi="Times New Roman"/>
          <w:sz w:val="28"/>
          <w:szCs w:val="28"/>
        </w:rPr>
      </w:pPr>
      <w:r>
        <w:rPr>
          <w:rFonts w:ascii="Times New Roman" w:hAnsi="Times New Roman"/>
          <w:sz w:val="28"/>
          <w:szCs w:val="28"/>
        </w:rPr>
        <w:t>кандидат педагогических наук, доцент кафедры социальной работы</w:t>
      </w:r>
    </w:p>
    <w:p w:rsidR="00791D2C" w:rsidRPr="0008374A" w:rsidRDefault="00791D2C" w:rsidP="009D1B47">
      <w:pPr>
        <w:spacing w:after="0" w:line="240" w:lineRule="auto"/>
        <w:ind w:firstLine="709"/>
        <w:jc w:val="right"/>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both"/>
        <w:rPr>
          <w:rFonts w:ascii="Times New Roman" w:hAnsi="Times New Roman"/>
          <w:sz w:val="28"/>
          <w:szCs w:val="28"/>
        </w:rPr>
      </w:pPr>
    </w:p>
    <w:p w:rsidR="00791D2C" w:rsidRPr="0008374A" w:rsidRDefault="00791D2C" w:rsidP="009D1B47">
      <w:pPr>
        <w:spacing w:after="0" w:line="240" w:lineRule="auto"/>
        <w:ind w:firstLine="709"/>
        <w:jc w:val="both"/>
        <w:rPr>
          <w:rFonts w:ascii="Times New Roman" w:hAnsi="Times New Roman"/>
          <w:sz w:val="28"/>
          <w:szCs w:val="28"/>
        </w:rPr>
      </w:pPr>
    </w:p>
    <w:p w:rsidR="00791D2C" w:rsidRPr="0008374A" w:rsidRDefault="00791D2C" w:rsidP="009D1B47">
      <w:pPr>
        <w:spacing w:after="0" w:line="240" w:lineRule="auto"/>
        <w:ind w:firstLine="709"/>
        <w:jc w:val="both"/>
        <w:rPr>
          <w:rFonts w:ascii="Times New Roman" w:hAnsi="Times New Roman"/>
          <w:sz w:val="28"/>
          <w:szCs w:val="28"/>
        </w:rPr>
      </w:pPr>
    </w:p>
    <w:p w:rsidR="00791D2C" w:rsidRDefault="00791D2C" w:rsidP="009D1B47">
      <w:pPr>
        <w:spacing w:after="0" w:line="240" w:lineRule="auto"/>
        <w:ind w:firstLine="709"/>
        <w:jc w:val="center"/>
        <w:rPr>
          <w:rFonts w:ascii="Times New Roman" w:hAnsi="Times New Roman"/>
          <w:sz w:val="28"/>
          <w:szCs w:val="28"/>
        </w:rPr>
      </w:pPr>
      <w:r w:rsidRPr="0008374A">
        <w:rPr>
          <w:rFonts w:ascii="Times New Roman" w:hAnsi="Times New Roman"/>
          <w:sz w:val="28"/>
          <w:szCs w:val="28"/>
        </w:rPr>
        <w:t>Волгоград 202</w:t>
      </w:r>
      <w:r>
        <w:rPr>
          <w:rFonts w:ascii="Times New Roman" w:hAnsi="Times New Roman"/>
          <w:sz w:val="28"/>
          <w:szCs w:val="28"/>
        </w:rPr>
        <w:t>1</w:t>
      </w:r>
    </w:p>
    <w:p w:rsidR="00791D2C" w:rsidRDefault="00791D2C" w:rsidP="0008374A">
      <w:pPr>
        <w:spacing w:after="0" w:line="360" w:lineRule="auto"/>
        <w:jc w:val="both"/>
        <w:rPr>
          <w:rFonts w:ascii="Times New Roman" w:hAnsi="Times New Roman"/>
          <w:sz w:val="28"/>
          <w:szCs w:val="28"/>
        </w:rPr>
      </w:pPr>
    </w:p>
    <w:p w:rsidR="00791D2C"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 xml:space="preserve">Система социальной защиты во Франции сформировалась в первые послевоенные десятилетия при непосредственном участии государства и профсоюзов и является одним из вариантов модели социального страхования Бисмарка, которая доминирует на Европейском континенте. Первоначально ее предполагалось строить на принципах единообразия, универсальности и всеобщности, по модели, предложенной английским экономистом У. Бевериджем. Однако часть схем социального страхования, действовавших до </w:t>
      </w:r>
      <w:smartTag w:uri="urn:schemas-microsoft-com:office:smarttags" w:element="metricconverter">
        <w:smartTagPr>
          <w:attr w:name="ProductID" w:val="1945 г"/>
        </w:smartTagPr>
        <w:r w:rsidRPr="00F15FF2">
          <w:rPr>
            <w:rFonts w:ascii="Times New Roman" w:hAnsi="Times New Roman"/>
            <w:sz w:val="28"/>
            <w:szCs w:val="28"/>
          </w:rPr>
          <w:t>1945 г</w:t>
        </w:r>
      </w:smartTag>
      <w:r w:rsidRPr="00F15FF2">
        <w:rPr>
          <w:rFonts w:ascii="Times New Roman" w:hAnsi="Times New Roman"/>
          <w:sz w:val="28"/>
          <w:szCs w:val="28"/>
        </w:rPr>
        <w:t>., с особыми условиями страхования была сохранена из-за отказа их участников присоединиться к общей системе. В итоге с начала своего возникновения французская система социальной защиты имела характер компромисса между концепцией Бевериджа и немецким методом социального обеспечения.</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Особенность французской системы социальной защиты – сложная организационная структура и высокая доля расходов на социальные программы.</w:t>
      </w:r>
    </w:p>
    <w:p w:rsidR="00791D2C" w:rsidRPr="00F15FF2" w:rsidRDefault="00791D2C" w:rsidP="00F15FF2">
      <w:pPr>
        <w:spacing w:after="0" w:line="360" w:lineRule="auto"/>
        <w:ind w:firstLine="709"/>
        <w:jc w:val="both"/>
        <w:rPr>
          <w:rFonts w:ascii="Times New Roman" w:hAnsi="Times New Roman"/>
          <w:sz w:val="28"/>
          <w:szCs w:val="28"/>
        </w:rPr>
      </w:pPr>
      <w:bookmarkStart w:id="0" w:name="_GoBack"/>
      <w:bookmarkEnd w:id="0"/>
      <w:r w:rsidRPr="00F15FF2">
        <w:rPr>
          <w:rFonts w:ascii="Times New Roman" w:hAnsi="Times New Roman"/>
          <w:sz w:val="28"/>
          <w:szCs w:val="28"/>
        </w:rPr>
        <w:t xml:space="preserve">В основной базовой схеме пенсионного обеспечения Франции возможен досрочный выход на пенсию, действует система надбавок супругам, имеющим не менее трех детей, и супругу, на иждивении которого находится другой, не имеющий собственной пенсии. </w:t>
      </w:r>
      <w:r w:rsidRPr="0008374A">
        <w:rPr>
          <w:rFonts w:ascii="Times New Roman" w:hAnsi="Times New Roman"/>
          <w:sz w:val="28"/>
          <w:szCs w:val="28"/>
        </w:rPr>
        <w:t>Во Франции около 42 групп трудящихся имеют пенсионные льготы. Это электрики, учителя, врачи, газовики, транспортники, моряки, артисты, юристы и многие другие</w:t>
      </w:r>
      <w:r>
        <w:rPr>
          <w:rFonts w:ascii="Times New Roman" w:hAnsi="Times New Roman"/>
          <w:sz w:val="28"/>
          <w:szCs w:val="28"/>
        </w:rPr>
        <w:t xml:space="preserve">. </w:t>
      </w:r>
      <w:r w:rsidRPr="00F15FF2">
        <w:rPr>
          <w:rFonts w:ascii="Times New Roman" w:hAnsi="Times New Roman"/>
          <w:sz w:val="28"/>
          <w:szCs w:val="28"/>
        </w:rPr>
        <w:t>Кроме того, существует возможность наследования пенсионных прав, а также возможность трудоустройства после выхода на пенсию. В рамках основной системы также возможно получение пенсии при продолжении трудовой деятельности. В этом случае продолжающий работать пенсионер должен уплачивать со своего заработка так называемый взнос солидарности в фонд страхования по безработице, 10–15% которого уплачивает сам работающий, а 5% – работодатель. Исключением является ситуация, когда размер получаемой пенсии и заработка меньше гарантированного минимума заработной платы.</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Финансирование основной системы пенсионного страхования осуществляется за счет взносов работодателей (8,2% фонда заработной платы) и наемных работников (6,55% заработной платы). Кроме того, часть средств, направляемых на финансирование пенсионного обеспечения, составляют дотации из специального фонда солидарности, а также в случае необходимости бюджетные ассигнования. Пенсионные выплаты как в рамках базовых схем, так и других режимов, за вычетом необлагаемого налогом минимума, подлежат подоходному налогообложению.</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Кроме основных во Франции существуют обязательные дополнительные системы социального страхования, функционирующие на основе межпрофессиональных национальных соглашений. Большая часть обязательных дополнительных систем страхования по старости сосредоточена в рамках двух фондов: Ассоциаци режимов дополнительных пенсий – ARRCO и Всеобщей ассоциации пенсионных учреждений – AGIRC.</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Ассоциация режимов дополнительных пенсий (ARRCO) охватывает всех наемных работников и финансируется за счет обязательных взносов предпринимателей (4% фонда заработной платы) и наемных работников, уплачивающих 2% с заработной платы.</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Всеобщая ассоциация пенсионных учреждений (AGIRC) осуществляет обязательное пенсионное страхование руководящих служащих и управленческих работников. Размер взносов в систему AGIRC составляет 12%, из которых 8% приходится на работодателей и 4% – на наемных работников.</w:t>
      </w:r>
    </w:p>
    <w:p w:rsidR="00791D2C"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Наряду с системой трудовых пенсий во Франции существует также система социальных пенсий. Их выплата гарантируется государством независимо от характера и продолжительности профессиональной деятельности. В отличие от пенсионеров, получающих трудовую пенсию, "социальные" пенсионеры обладают рядом льгот, таких как бесплатная юридическая помощь, освобождение от налога на жилье и земельного налога, бесплатное телефонное обслуживание и др. Финансирование системы социальных пенсий производится через фонд солидарности по старости. Доходы фонда формируются из средств, поступающих от взимания всеобщего социального налога в размере 2,4% любых доходов, а также за счет части акцизов и пошлин на алкогольные и безалкогольные напитки. В случае недостатка средств фонда на выплату пенсий возможно устранение дефицита из средств государственного бюджета на основании соответствующего решения парламента.</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 xml:space="preserve">Франция, которая </w:t>
      </w:r>
      <w:r w:rsidRPr="0008374A">
        <w:rPr>
          <w:rFonts w:ascii="Times New Roman" w:hAnsi="Times New Roman"/>
          <w:sz w:val="28"/>
          <w:szCs w:val="28"/>
        </w:rPr>
        <w:t>славится тягой к забастовкам и массовым акциям, сопротивляется пенсионной реформе с 1995 года. Конец 2019 года — новый виток в этой истории, французы опять вышли на улицу, и жизнь в стране тревожно замерла. Но если перемен не будет — пострадает экономика страны, и существующая пенсионная система всё равно даст сбой.</w:t>
      </w:r>
      <w:r>
        <w:rPr>
          <w:rFonts w:ascii="Times New Roman" w:hAnsi="Times New Roman"/>
          <w:sz w:val="28"/>
          <w:szCs w:val="28"/>
        </w:rPr>
        <w:t xml:space="preserve"> </w:t>
      </w:r>
      <w:r w:rsidRPr="0008374A">
        <w:rPr>
          <w:rFonts w:ascii="Times New Roman" w:hAnsi="Times New Roman"/>
          <w:sz w:val="28"/>
          <w:szCs w:val="28"/>
        </w:rPr>
        <w:t xml:space="preserve">Существующие пенсионные программы действуют уже много десятков лет. За это время повысилась продолжительность жизни, и упала рождаемость — происходит старение населения. </w:t>
      </w:r>
      <w:r>
        <w:rPr>
          <w:rFonts w:ascii="Times New Roman" w:hAnsi="Times New Roman"/>
          <w:sz w:val="28"/>
          <w:szCs w:val="28"/>
        </w:rPr>
        <w:t>Во Францию</w:t>
      </w:r>
      <w:r w:rsidRPr="0008374A">
        <w:rPr>
          <w:rFonts w:ascii="Times New Roman" w:hAnsi="Times New Roman"/>
          <w:sz w:val="28"/>
          <w:szCs w:val="28"/>
        </w:rPr>
        <w:t xml:space="preserve"> средний возраст жизни — 82 года, что на 15 лет выше, чем 50 лет назад. Число людей, делающих отчисления, становится всё меньше. На одного пенсионера приходится два работающих, а раньше было 4. Дальше это число будет ещё сокращаться. В итоге Пенсионный фонд испытывает дефицит, его приходится дофинансировать за счёт государственных средств, что нарушает экономику.</w:t>
      </w:r>
    </w:p>
    <w:p w:rsidR="00791D2C"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Французская система медицинского страхования подразделяется на несколько отдельных систем, различающихся по профессиональному признаку. Действуют общая система медицинского страхования (80%); система страхования государственных и сельхозслужащих (9%); система для самостоятельно занятых работников (6%) и мелкие системы страхования для наемных работников различных профессиональных групп.</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В основополагающем нормативном правовом акте данной сферы — Кодексе социального обеспечения Французской Республики — в ч. 2 ст. L.111-1 указано: «Социальное обеспечение защищает трудящихся и членов их семей от любых рисков, способных снизить или полностью лишить их возмо</w:t>
      </w:r>
      <w:r>
        <w:rPr>
          <w:rFonts w:ascii="Times New Roman" w:hAnsi="Times New Roman"/>
          <w:sz w:val="28"/>
          <w:szCs w:val="28"/>
        </w:rPr>
        <w:t>жности зарабатывать на жизнь»</w:t>
      </w:r>
      <w:r w:rsidRPr="00F15FF2">
        <w:rPr>
          <w:rFonts w:ascii="Times New Roman" w:hAnsi="Times New Roman"/>
          <w:sz w:val="28"/>
          <w:szCs w:val="28"/>
        </w:rPr>
        <w:t>. Следует отметить, что система социального обеспечения Франции функционирует главным образом но принципу страхования — по старости, по болезни, по инвалидности, от несчастных случаев на производстве и профессиональных заболеваний, в связи с материнством, наличием детей, но вдовству. Параллельно в стране действует система социальной помощи, основанная на идее содействия, истоком которой когда-то стала благотворительная деятельность. Социальная помощь предоставляется малоимущим гражданам, являющимся нетрудоспособными по причине серьезного заболевания, старости или инвалидности. Источником финансирования выступает государственный бюджет Франции. Общественные отношения по предоставлению указанной помощи урегулированы Код</w:t>
      </w:r>
      <w:r>
        <w:rPr>
          <w:rFonts w:ascii="Times New Roman" w:hAnsi="Times New Roman"/>
          <w:sz w:val="28"/>
          <w:szCs w:val="28"/>
        </w:rPr>
        <w:t>ексом семьи и социальной помощи</w:t>
      </w:r>
      <w:r w:rsidRPr="00F15FF2">
        <w:rPr>
          <w:rFonts w:ascii="Times New Roman" w:hAnsi="Times New Roman"/>
          <w:sz w:val="28"/>
          <w:szCs w:val="28"/>
        </w:rPr>
        <w:t>. По словам французского специалиста в сфере социальной защиты Ж.-К. Беното, путем предоставления социальной помощи «проводится перераспределение доходов самых богатых в пользу самых бедных»</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Кроме того, следует отметить еще одну характерную черту системы социального обеспечения, свойственную Франции. Структуру системы социального обеспечения здесь следует рассматривать как совокупность режимов социального обеспечения, которые представляют собой части общей системы, предоставляющие обеспечение определенной группе лиц, зачастую по профессиональному признаку. Французские специалисты дают следующее определение понятия режима: эго статут, или совокупность правил, организующих перераспределение денежных потоков в</w:t>
      </w:r>
      <w:r>
        <w:rPr>
          <w:rFonts w:ascii="Times New Roman" w:hAnsi="Times New Roman"/>
          <w:sz w:val="28"/>
          <w:szCs w:val="28"/>
        </w:rPr>
        <w:t>нутри определенной группы лиц</w:t>
      </w:r>
      <w:r w:rsidRPr="00F15FF2">
        <w:rPr>
          <w:rFonts w:ascii="Times New Roman" w:hAnsi="Times New Roman"/>
          <w:sz w:val="28"/>
          <w:szCs w:val="28"/>
        </w:rPr>
        <w:t>. Близкое по смыслу определение: режим обеспечения — это совокупность правил, в соответствии с которыми группа лиц добровольно объединяется с целью ор</w:t>
      </w:r>
      <w:r>
        <w:rPr>
          <w:rFonts w:ascii="Times New Roman" w:hAnsi="Times New Roman"/>
          <w:sz w:val="28"/>
          <w:szCs w:val="28"/>
        </w:rPr>
        <w:t>ганизации обеспечения «своих»</w:t>
      </w:r>
      <w:r w:rsidRPr="00F15FF2">
        <w:rPr>
          <w:rFonts w:ascii="Times New Roman" w:hAnsi="Times New Roman"/>
          <w:sz w:val="28"/>
          <w:szCs w:val="28"/>
        </w:rPr>
        <w:t xml:space="preserve">. Для каждого режима характерно наличие собственных источников финансирования, органов управления, свои условия, нормы и правила обеспечения. Последние, правда, отличаются несущественно. В </w:t>
      </w:r>
      <w:smartTag w:uri="urn:schemas-microsoft-com:office:smarttags" w:element="metricconverter">
        <w:smartTagPr>
          <w:attr w:name="ProductID" w:val="1945 г"/>
        </w:smartTagPr>
        <w:r w:rsidRPr="00F15FF2">
          <w:rPr>
            <w:rFonts w:ascii="Times New Roman" w:hAnsi="Times New Roman"/>
            <w:sz w:val="28"/>
            <w:szCs w:val="28"/>
          </w:rPr>
          <w:t>1945 г</w:t>
        </w:r>
      </w:smartTag>
      <w:r w:rsidRPr="00F15FF2">
        <w:rPr>
          <w:rFonts w:ascii="Times New Roman" w:hAnsi="Times New Roman"/>
          <w:sz w:val="28"/>
          <w:szCs w:val="28"/>
        </w:rPr>
        <w:t>. во Франции был учрежден общий режим социального обеспечения — единая система социального обеспечения для всех французов, которая преследовала основные цели — единство обеспечения, проявляющееся в создании единого органа управления, и универсальность, т.е. предоставление обеспечения всему населению с целью защиты от неблагоприятных последствий всех социальных рисков путем перераспредел</w:t>
      </w:r>
      <w:r>
        <w:rPr>
          <w:rFonts w:ascii="Times New Roman" w:hAnsi="Times New Roman"/>
          <w:sz w:val="28"/>
          <w:szCs w:val="28"/>
        </w:rPr>
        <w:t>ения части национального дохода</w:t>
      </w:r>
      <w:r w:rsidRPr="00F15FF2">
        <w:rPr>
          <w:rFonts w:ascii="Times New Roman" w:hAnsi="Times New Roman"/>
          <w:sz w:val="28"/>
          <w:szCs w:val="28"/>
        </w:rPr>
        <w:t>. Однако активное нежелание различных категорий работников присоединяться к общему режиму, защищаемое профсоюзами, привело к тому, что сегодня во Франции действует около 100 базовых режимов обеспечения и около 300 дополнительных.</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В настоящее время система социального обеспечения Франции включает в себя три уровня. Первый уровень складывается из базовых режимов, включающих в себя общий режим, распространяющийся на большую часть наемных работников, а также профессиональные режимы, затрагивающие отдельные категории (железнодорожный транспорт, флот, шахты, др.). Все относящиеся к этой группе режимы являются обязательными. Затем следуют дополнительные обязательные режимы и дополнительные добровольные режимы обеспечения, касающиеся либо отдельных категорий работников, либо отдельных видов социального обеспечения.</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Согласно Указу от 30 июля 1964 г., который потом вошел в 1-ю главу Кодекса о здравоохранении от 12 декабря 1989 г., установлено четыре службы медико-социальной защиты ребенка: служба охраны материнства и младенчества (PMI); структуры помощи больным и трудным детям; служба здравоохранения школьников; школьная социальная служба.</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Служба охраны материнства и младенчества (PMI) включает в себя структуры помощи больным и трудным детям. В эту категорию входят дети, которые страдают физическими, умственными, психическими и поведенческими расстройствами и не могут приспособиться к нормальной семейной, школьной, профессиональной или социальной жизни. В этих случаях необходимы структуры лечебной, психологической, педагогической, воспитательной и социальной реабилитации.</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Служба здравоохранения школьников играет основную роль в защите здоровья детей, в особенности тех, которые испытывают существенные личные или семейные трудности. В санитарном и социальном отношении эта служба играет большую роль. В школьную бригаду входят врач школьного здоровья, санитарка и медико-социальный работник.</w:t>
      </w:r>
    </w:p>
    <w:p w:rsidR="00791D2C"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В компетенцию школьной социальной службы входят ориентация и дальнейший контакт с трудными школьниками и учащимися, получающими профессиональное образование. Эта служба должна активно участвовать в профилактике и защите несовершеннолетних, находящихся в опасности. Она состоит из специализированных в школьной области социальных работников (сотрудников учреждений социальной помощи).</w:t>
      </w:r>
    </w:p>
    <w:p w:rsidR="00791D2C" w:rsidRDefault="00791D2C" w:rsidP="00F15FF2">
      <w:pPr>
        <w:spacing w:after="0" w:line="360" w:lineRule="auto"/>
        <w:ind w:firstLine="709"/>
        <w:jc w:val="both"/>
        <w:rPr>
          <w:rFonts w:ascii="Times New Roman" w:hAnsi="Times New Roman"/>
          <w:sz w:val="28"/>
          <w:szCs w:val="28"/>
        </w:rPr>
      </w:pPr>
      <w:r w:rsidRPr="00ED008C">
        <w:rPr>
          <w:rFonts w:ascii="Times New Roman" w:hAnsi="Times New Roman"/>
          <w:sz w:val="28"/>
          <w:szCs w:val="28"/>
        </w:rPr>
        <w:t>Социальная французская система предусматривает помимо всего прочего также выплату различных пособий/allocations для разных категорий жителей страны.</w:t>
      </w:r>
    </w:p>
    <w:p w:rsidR="00791D2C" w:rsidRPr="00ED008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Так, например, выплата пособий во Франции осуществляется, прежде всего, в рамках проведения целенаправленной семейной политики, заключающейся в том, чтобы гарантировать французским родителям свою помощь в успешном сочетании своих воспитательн</w:t>
      </w:r>
      <w:r>
        <w:rPr>
          <w:rFonts w:ascii="Times New Roman" w:hAnsi="Times New Roman"/>
          <w:sz w:val="28"/>
          <w:szCs w:val="28"/>
        </w:rPr>
        <w:t>ых функций и карьерных амбиций. С</w:t>
      </w:r>
      <w:r w:rsidRPr="00ED008C">
        <w:rPr>
          <w:rFonts w:ascii="Times New Roman" w:hAnsi="Times New Roman"/>
          <w:sz w:val="28"/>
          <w:szCs w:val="28"/>
        </w:rPr>
        <w:t xml:space="preserve">оциальные пособия на детей раннего возраста (во Франции они составляют весьма внушительные суммы) нацелены в основном на уменьшение семейных расходов на няню/гувернантку, или же, напротив, позволяют родителям самостоятельно обеспечивать </w:t>
      </w:r>
      <w:r>
        <w:rPr>
          <w:rFonts w:ascii="Times New Roman" w:hAnsi="Times New Roman"/>
          <w:sz w:val="28"/>
          <w:szCs w:val="28"/>
        </w:rPr>
        <w:t>уход/присмотр за своими чадами.</w:t>
      </w:r>
    </w:p>
    <w:p w:rsidR="00791D2C" w:rsidRPr="00ED008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При этом, инициируется выплата соответствующих родительских пособий на взращивание/воспитание детей (интересно, что это не зависит от наличия у родителей-французов собственных средств!) в том случае, когда один из членов семьи/родителей с рабочим стажем не менее чем в два года решается временно оставить свою работу для ухода за детьми (</w:t>
      </w:r>
      <w:r>
        <w:rPr>
          <w:rFonts w:ascii="Times New Roman" w:hAnsi="Times New Roman"/>
          <w:sz w:val="28"/>
          <w:szCs w:val="28"/>
        </w:rPr>
        <w:t>возраст ребенка — до трех лет).</w:t>
      </w:r>
    </w:p>
    <w:p w:rsidR="00791D2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Помощь семье может выделяться государством и с целью оплачивания услуг няни, которую французские семьи часто нанимают для ухода за своими детьми. Такая помощь может выделяться вплоть до достижения ребенком шестилетнего возраста.</w:t>
      </w:r>
    </w:p>
    <w:p w:rsidR="00791D2C" w:rsidRPr="00ED008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Во Франции также предусмотрена выплата пособий поощрительного плана, нацеленных, прежде всего, на тех женщин, которые хотели бы вернуться на свое рабочее место. Целевая аудитория данных пособий одновременно включает и представительниц женского пола, находящихся в процессе поиска работы.</w:t>
      </w:r>
    </w:p>
    <w:p w:rsidR="00791D2C" w:rsidRPr="00ED008C" w:rsidRDefault="00791D2C" w:rsidP="00ED008C">
      <w:pPr>
        <w:spacing w:after="0" w:line="360" w:lineRule="auto"/>
        <w:ind w:firstLine="709"/>
        <w:jc w:val="both"/>
        <w:rPr>
          <w:rFonts w:ascii="Times New Roman" w:hAnsi="Times New Roman"/>
          <w:sz w:val="28"/>
          <w:szCs w:val="28"/>
        </w:rPr>
      </w:pPr>
    </w:p>
    <w:p w:rsidR="00791D2C" w:rsidRPr="00ED008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При этом, препятствием тут не будет даже факт одновременного получения ими минимальных социальных пособий другого плана (надбавок для одиноких родителей/специальных пособий солидарности/пособий на трудоустройство/пособий для вдов…</w:t>
      </w:r>
      <w:r>
        <w:rPr>
          <w:rFonts w:ascii="Times New Roman" w:hAnsi="Times New Roman"/>
          <w:sz w:val="28"/>
          <w:szCs w:val="28"/>
        </w:rPr>
        <w:t>).</w:t>
      </w:r>
    </w:p>
    <w:p w:rsidR="00791D2C" w:rsidRPr="00ED008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Показательно, что выплата пособия по воспитанию/уходу за детьми сохраняется в течение еще некоторого времени даже при условии фак</w:t>
      </w:r>
      <w:r>
        <w:rPr>
          <w:rFonts w:ascii="Times New Roman" w:hAnsi="Times New Roman"/>
          <w:sz w:val="28"/>
          <w:szCs w:val="28"/>
        </w:rPr>
        <w:t>тического возобновления работы.</w:t>
      </w:r>
    </w:p>
    <w:p w:rsidR="00791D2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Подобная практика предусматривает возможность совокупного получения и соответствующего пособия, и заработной платы/дохода от трудовой деятельности в рамках двухмесячного периода (основное условие тут — возраст ребенка 18-30 месяцев) и нацелена, прежде всего, на облегчение процесса возвращения французских женщин на рабочее место, сводя к минимуму время их вынужденного отсутствия в рамках рынка труда.</w:t>
      </w:r>
    </w:p>
    <w:p w:rsidR="00791D2C" w:rsidRPr="00ED008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Также интересным представляется действие во Франции регулирующих рынок социального жилья законов, гарантирующих льготное предоставление жилья для отдельных категорий граждан. Это в основном касается практики гарантирования получения льгот при приобретении жилья молодыми семьями/холостяками/родителями-одиночками/инвалидами/преста</w:t>
      </w:r>
      <w:r>
        <w:rPr>
          <w:rFonts w:ascii="Times New Roman" w:hAnsi="Times New Roman"/>
          <w:sz w:val="28"/>
          <w:szCs w:val="28"/>
        </w:rPr>
        <w:t>релыми французами.</w:t>
      </w:r>
    </w:p>
    <w:p w:rsidR="00791D2C" w:rsidRPr="00ED008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При этом, в качестве основной формы социального жилья во Фран</w:t>
      </w:r>
      <w:r>
        <w:rPr>
          <w:rFonts w:ascii="Times New Roman" w:hAnsi="Times New Roman"/>
          <w:sz w:val="28"/>
          <w:szCs w:val="28"/>
        </w:rPr>
        <w:t xml:space="preserve">ции рассматривается его аренда. </w:t>
      </w:r>
      <w:r w:rsidRPr="00ED008C">
        <w:rPr>
          <w:rFonts w:ascii="Times New Roman" w:hAnsi="Times New Roman"/>
          <w:sz w:val="28"/>
          <w:szCs w:val="28"/>
        </w:rPr>
        <w:t>Порядка сорока пяти процентов всех французских квартиросъемщиков гарантированно обеспечиваются выплатой жилищных пособий/allocation de logement. Более того, семьи, имеющие низкие доходы, обеспечиваются соответствующими субсидиями на оплат</w:t>
      </w:r>
      <w:r>
        <w:rPr>
          <w:rFonts w:ascii="Times New Roman" w:hAnsi="Times New Roman"/>
          <w:sz w:val="28"/>
          <w:szCs w:val="28"/>
        </w:rPr>
        <w:t>у их арендуемого жилья.</w:t>
      </w:r>
    </w:p>
    <w:p w:rsidR="00791D2C" w:rsidRPr="00ED008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Еще в 1990 в этой стране вступил в силу закон, в соответствии с которым жилец/квартиросъемщик без получения финансовой помощи, направленной на погашение общей задолженности по своей ква</w:t>
      </w:r>
      <w:r>
        <w:rPr>
          <w:rFonts w:ascii="Times New Roman" w:hAnsi="Times New Roman"/>
          <w:sz w:val="28"/>
          <w:szCs w:val="28"/>
        </w:rPr>
        <w:t>ртплате, не подлежит выселению.</w:t>
      </w:r>
    </w:p>
    <w:p w:rsidR="00791D2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При этом, суды, в ведении которых находятся подобные дела, вправе продлевать вплоть до трехлетнего периода жильцу, неспособному найти способ для переселения в более приемлемое по параметрам цена-качество жилье, сроки его выселения.</w:t>
      </w:r>
    </w:p>
    <w:p w:rsidR="00791D2C" w:rsidRPr="00ED008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Для Франции борьба с бедностью — крупнейшая стратегическая задача, решение которой осуществляется двумя главными способами. Первый — обеспечение основных минимальных доходов (заработной платы и пенсий), достаточных для действующих в обществе стандартов потребления. И второй — система адресной социальной помощи тем, кто находится в худшем</w:t>
      </w:r>
      <w:r>
        <w:rPr>
          <w:rFonts w:ascii="Times New Roman" w:hAnsi="Times New Roman"/>
          <w:sz w:val="28"/>
          <w:szCs w:val="28"/>
        </w:rPr>
        <w:t xml:space="preserve"> относительно других положении.</w:t>
      </w:r>
    </w:p>
    <w:p w:rsidR="00791D2C" w:rsidRDefault="00791D2C" w:rsidP="00ED008C">
      <w:pPr>
        <w:spacing w:after="0" w:line="360" w:lineRule="auto"/>
        <w:ind w:firstLine="709"/>
        <w:jc w:val="both"/>
        <w:rPr>
          <w:rFonts w:ascii="Times New Roman" w:hAnsi="Times New Roman"/>
          <w:sz w:val="28"/>
          <w:szCs w:val="28"/>
        </w:rPr>
      </w:pPr>
      <w:r w:rsidRPr="00ED008C">
        <w:rPr>
          <w:rFonts w:ascii="Times New Roman" w:hAnsi="Times New Roman"/>
          <w:sz w:val="28"/>
          <w:szCs w:val="28"/>
        </w:rPr>
        <w:t>Для многих Франция — страна всеобщего благосостояния, вместе с тем, по данным эксперта в сфере социальной защиты отдела международных отношений и исследований Министерства солидарности и здравоо</w:t>
      </w:r>
      <w:r>
        <w:rPr>
          <w:rFonts w:ascii="Times New Roman" w:hAnsi="Times New Roman"/>
          <w:sz w:val="28"/>
          <w:szCs w:val="28"/>
        </w:rPr>
        <w:t>хранения Франции Марии Ромэри</w:t>
      </w:r>
      <w:r w:rsidRPr="00ED008C">
        <w:rPr>
          <w:rFonts w:ascii="Times New Roman" w:hAnsi="Times New Roman"/>
          <w:sz w:val="28"/>
          <w:szCs w:val="28"/>
        </w:rPr>
        <w:t>, доля бедных в стране составляет 13,6%. К самым уязвимым группам населения относятся: в разрезе домохозяйств — одинокие родители (35% бедных), в возрастном разрезе — молодежь 20–24 лет (22%), в разрезе статуса занятых — безработные (38%).</w:t>
      </w:r>
    </w:p>
    <w:p w:rsidR="00791D2C" w:rsidRDefault="00791D2C" w:rsidP="00ED008C">
      <w:pPr>
        <w:spacing w:after="0" w:line="360" w:lineRule="auto"/>
        <w:ind w:firstLine="709"/>
        <w:jc w:val="both"/>
        <w:rPr>
          <w:rFonts w:ascii="Times New Roman" w:hAnsi="Times New Roman"/>
          <w:sz w:val="28"/>
          <w:szCs w:val="28"/>
        </w:rPr>
      </w:pPr>
      <w:r w:rsidRPr="00CE0DD4">
        <w:rPr>
          <w:rFonts w:ascii="Times New Roman" w:hAnsi="Times New Roman"/>
          <w:sz w:val="28"/>
          <w:szCs w:val="28"/>
        </w:rPr>
        <w:t>Расходы на социальную помощь во Фра</w:t>
      </w:r>
      <w:r>
        <w:rPr>
          <w:rFonts w:ascii="Times New Roman" w:hAnsi="Times New Roman"/>
          <w:sz w:val="28"/>
          <w:szCs w:val="28"/>
        </w:rPr>
        <w:t xml:space="preserve">нции составляют почти 32% ВВП. </w:t>
      </w:r>
      <w:r w:rsidRPr="00CE0DD4">
        <w:rPr>
          <w:rFonts w:ascii="Times New Roman" w:hAnsi="Times New Roman"/>
          <w:sz w:val="28"/>
          <w:szCs w:val="28"/>
        </w:rPr>
        <w:t>Это все социальные расходы, включая выплату пенсий, здравоохранение и т. д. По словам Ромэри, действующая система социальной защиты в стране способствует сокращению бедности: «Если убрать социальные трансферты, исключая пенсии, то уровень бедности с 13,6 процента поднимется до 23,6». То есть социальные меры помогают снизить уровень бедности более ч</w:t>
      </w:r>
      <w:r>
        <w:rPr>
          <w:rFonts w:ascii="Times New Roman" w:hAnsi="Times New Roman"/>
          <w:sz w:val="28"/>
          <w:szCs w:val="28"/>
        </w:rPr>
        <w:t>ем на десять пунктов</w:t>
      </w:r>
      <w:r w:rsidRPr="00CE0DD4">
        <w:rPr>
          <w:rFonts w:ascii="Times New Roman" w:hAnsi="Times New Roman"/>
          <w:sz w:val="28"/>
          <w:szCs w:val="28"/>
        </w:rPr>
        <w:t>, и в этом немалую роль играет адресность программ социальной защиты.</w:t>
      </w:r>
    </w:p>
    <w:p w:rsidR="00791D2C" w:rsidRPr="00F15FF2" w:rsidRDefault="00791D2C" w:rsidP="00ED008C">
      <w:pPr>
        <w:spacing w:after="0" w:line="360" w:lineRule="auto"/>
        <w:ind w:firstLine="709"/>
        <w:jc w:val="both"/>
        <w:rPr>
          <w:rFonts w:ascii="Times New Roman" w:hAnsi="Times New Roman"/>
          <w:sz w:val="28"/>
          <w:szCs w:val="28"/>
        </w:rPr>
      </w:pPr>
      <w:r w:rsidRPr="00CE0DD4">
        <w:rPr>
          <w:rFonts w:ascii="Times New Roman" w:hAnsi="Times New Roman"/>
          <w:sz w:val="28"/>
          <w:szCs w:val="28"/>
        </w:rPr>
        <w:t>Социальные работники во Франции присутствуют везде, где есть целевой контингент: в мэрии, в больницах, в школах и т. д. В стране порядка 43 тысяч человек работают в системе социальной помощи. Эти люди информируют претендентов на получение пособий, помогают открыть счет или организовать получение пособий почтовым переводом, проверяют документы, чтобы на этапе обработки их не вернули.</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Функции социальных работников во Франции выполняют различные специалисты. Самой многочисленной группой являются "мамы – воспитатели домашнего детского сада" (assitante matemelle) (380 000 чел.), которые были приравнены к квалифицированным "социальным работникам" по Закону 1992 г. Домашний воспитатель работает на основе официального соглашения с Городским советом. Это соглашение необходимо зарегистрировать в городском Центре по охране материнства и детства, а чтобы заключить его, нужно пройти 60-часовой учебный курс и получить аттестацию. Воспитатель домашнего детского сада может одновременно работать с тремя детьми (максимум), это могут быть как собственные дети (но не младше 3 лет), так и чужие.</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К социальным работникам также относят социальных педагогов, специалистов по уходу, помощников по хозяйству и посредников в социальной сфере.</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Роль "специалистов (помощников) социальной службы" (это около 38 000 чел.) заключается в вовлечении в социальные программы всех категорий населения, в том числе психически больных, инвалидов и пожилых; в обеспечении прав и защите различных категорий семей.</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Роль "специализированных педагогов" (55 000 чел.) заключается в проведении профилактической и информационно-пропагандистской работы с семьей и детьми девиантного поведения.</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Еще одна достаточно распространенная специальность в социальной работе – это "семейные консультанты по экономическим вопросам" (7000 чел.), которые специализируются на решении проблем семей, связанных с решением экономических вопросов.</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В основе системы социальной защиты населения Франции лежит очень сложная организационная структура. Доля расходов на социальные программы превышает средний показатель по ЕС. Для нее характерны следующие особенности:</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1.</w:t>
      </w:r>
      <w:r w:rsidRPr="00F15FF2">
        <w:rPr>
          <w:rFonts w:ascii="Times New Roman" w:hAnsi="Times New Roman"/>
          <w:sz w:val="28"/>
          <w:szCs w:val="28"/>
        </w:rPr>
        <w:t>Существование разветвленной системы профессионально-отраслевых схем социального страхования.</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2.</w:t>
      </w:r>
      <w:r w:rsidRPr="00F15FF2">
        <w:rPr>
          <w:rFonts w:ascii="Times New Roman" w:hAnsi="Times New Roman"/>
          <w:sz w:val="28"/>
          <w:szCs w:val="28"/>
        </w:rPr>
        <w:t>Наличие развитой системы семейных пособий.</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3.</w:t>
      </w:r>
      <w:r w:rsidRPr="00F15FF2">
        <w:rPr>
          <w:rFonts w:ascii="Times New Roman" w:hAnsi="Times New Roman"/>
          <w:sz w:val="28"/>
          <w:szCs w:val="28"/>
        </w:rPr>
        <w:t>Большая роль дополнительных систем социального обеспечения, особенно в области пенсионного и медицинского страхования.</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4.</w:t>
      </w:r>
      <w:r w:rsidRPr="00F15FF2">
        <w:rPr>
          <w:rFonts w:ascii="Times New Roman" w:hAnsi="Times New Roman"/>
          <w:sz w:val="28"/>
          <w:szCs w:val="28"/>
        </w:rPr>
        <w:t>Существенным отличием французской системы социальной защиты является ее финансирование преимущественно за счет взносов социального страхования.</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5.</w:t>
      </w:r>
      <w:r w:rsidRPr="00F15FF2">
        <w:rPr>
          <w:rFonts w:ascii="Times New Roman" w:hAnsi="Times New Roman"/>
          <w:sz w:val="28"/>
          <w:szCs w:val="28"/>
        </w:rPr>
        <w:t>Существование различных страховых фондов, реализующих отдельные социальные программы, которые дополняют обязательные социальные услуги в рамках общих обязательных схем социального обеспечения.</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6. </w:t>
      </w:r>
      <w:r w:rsidRPr="00F15FF2">
        <w:rPr>
          <w:rFonts w:ascii="Times New Roman" w:hAnsi="Times New Roman"/>
          <w:sz w:val="28"/>
          <w:szCs w:val="28"/>
        </w:rPr>
        <w:t>Помимо основных во Франции существуют обязательные дополнительные системы социального страхования, функционирующие на основе межпрофессиональных национальных соглашений.</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В основе модели Бисмарка лежит принцип сбора страховых взносов, размер которых определяется в соответствии со страховыми тарифами. Однако обязанность по компенсации производственных несчастных случаев не является сферой ответственности государства, а возлагается на особые структуры – бесприбыльные корпорации публичного права, находящиеся под контролем государственных органов. Таким образом, эта модель сочетает принципы и государственной и частной форм социальной защиты.</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Основная идея этой системы заключается в том, что ответственный за компенсирование в результате наступления несчастного случая должен иметь возможность принимать меры по его предотвращению. Это значит, что предприниматель должен быть заинтересован в том, чтобы снизить профессиональные риски, в профилактике несчастных случаев.</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В системе страхования Франции, реализуемой на основе модели Бисмарка, сочетается социально-страховой тариф и социальный налог. То есть немалое значение в ней имеют и принципы, разработанные Бевериджем.</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Организационная структура французской модели социального страхования строится следующим образом:</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1.</w:t>
      </w:r>
      <w:r w:rsidRPr="00F15FF2">
        <w:rPr>
          <w:rFonts w:ascii="Times New Roman" w:hAnsi="Times New Roman"/>
          <w:sz w:val="28"/>
          <w:szCs w:val="28"/>
        </w:rPr>
        <w:t>национальная касса медицинского страхования;</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2.</w:t>
      </w:r>
      <w:r w:rsidRPr="00F15FF2">
        <w:rPr>
          <w:rFonts w:ascii="Times New Roman" w:hAnsi="Times New Roman"/>
          <w:sz w:val="28"/>
          <w:szCs w:val="28"/>
        </w:rPr>
        <w:t>национальная касса пенсионного страхования;</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3.</w:t>
      </w:r>
      <w:r w:rsidRPr="00F15FF2">
        <w:rPr>
          <w:rFonts w:ascii="Times New Roman" w:hAnsi="Times New Roman"/>
          <w:sz w:val="28"/>
          <w:szCs w:val="28"/>
        </w:rPr>
        <w:t>национальная касса семейных пособий;</w:t>
      </w:r>
    </w:p>
    <w:p w:rsidR="00791D2C" w:rsidRPr="00F15FF2" w:rsidRDefault="00791D2C" w:rsidP="00F15FF2">
      <w:pPr>
        <w:spacing w:after="0" w:line="360" w:lineRule="auto"/>
        <w:ind w:firstLine="709"/>
        <w:jc w:val="both"/>
        <w:rPr>
          <w:rFonts w:ascii="Times New Roman" w:hAnsi="Times New Roman"/>
          <w:sz w:val="28"/>
          <w:szCs w:val="28"/>
        </w:rPr>
      </w:pPr>
      <w:r>
        <w:rPr>
          <w:rFonts w:ascii="Times New Roman" w:hAnsi="Times New Roman"/>
          <w:sz w:val="28"/>
          <w:szCs w:val="28"/>
        </w:rPr>
        <w:t>4.</w:t>
      </w:r>
      <w:r w:rsidRPr="00F15FF2">
        <w:rPr>
          <w:rFonts w:ascii="Times New Roman" w:hAnsi="Times New Roman"/>
          <w:sz w:val="28"/>
          <w:szCs w:val="28"/>
        </w:rPr>
        <w:t>центральное агентство обеспечения социальной защиты.</w:t>
      </w:r>
    </w:p>
    <w:p w:rsidR="00791D2C" w:rsidRPr="00F15FF2"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Эти организации объединены в единый национальный союз касс социального обеспечения. Принципы представительства в национальном союзе единообразны для системы социального страхования в целом: 40% составляют работники (как правило, это деятели профсоюзов), 40% – работодатели, 20% – принадлежат государству, их занимают специалисты Минтруда и Минфина, обладающие блокирующими голосами.</w:t>
      </w:r>
    </w:p>
    <w:p w:rsidR="00791D2C" w:rsidRDefault="00791D2C" w:rsidP="00F15FF2">
      <w:pPr>
        <w:spacing w:after="0" w:line="360" w:lineRule="auto"/>
        <w:ind w:firstLine="709"/>
        <w:jc w:val="both"/>
        <w:rPr>
          <w:rFonts w:ascii="Times New Roman" w:hAnsi="Times New Roman"/>
          <w:sz w:val="28"/>
          <w:szCs w:val="28"/>
        </w:rPr>
      </w:pPr>
      <w:r w:rsidRPr="00F15FF2">
        <w:rPr>
          <w:rFonts w:ascii="Times New Roman" w:hAnsi="Times New Roman"/>
          <w:sz w:val="28"/>
          <w:szCs w:val="28"/>
        </w:rPr>
        <w:t>Во Франции существует специфическая организация – национальная касса семейных пособий. Это орган проведения демографической политики государства. В настоящее время семейные пособия поглощают порядка 2,6% ВВП Франции и имеют 128 разновидностей. В таких странах, как Швеция, Дания и Финляндия, эта система еще более развита – там на нее расходуется 4% ВВП. Бюджет национальной кассы семейных пособий во Франции сегодня превышает оборонный бюджет страны. Однако стоит отметить, что в данный момент французская система социальной защиты населения пребывает в упадке. В послевоенные годы страна переживала экономический подъем, и государство позволило себе развитие щедрой системы социального обеспечения, поддерживать которую становится все труднее.</w:t>
      </w:r>
    </w:p>
    <w:p w:rsidR="00791D2C" w:rsidRDefault="00791D2C" w:rsidP="00F15FF2">
      <w:pPr>
        <w:spacing w:after="0" w:line="360" w:lineRule="auto"/>
        <w:ind w:firstLine="709"/>
        <w:jc w:val="both"/>
        <w:rPr>
          <w:rFonts w:ascii="Times New Roman" w:hAnsi="Times New Roman"/>
          <w:sz w:val="28"/>
          <w:szCs w:val="28"/>
        </w:rPr>
      </w:pPr>
    </w:p>
    <w:p w:rsidR="00791D2C" w:rsidRDefault="00791D2C" w:rsidP="00F15FF2">
      <w:pPr>
        <w:spacing w:after="0" w:line="360" w:lineRule="auto"/>
        <w:ind w:firstLine="709"/>
        <w:jc w:val="both"/>
        <w:rPr>
          <w:rFonts w:ascii="Times New Roman" w:hAnsi="Times New Roman"/>
          <w:sz w:val="28"/>
          <w:szCs w:val="28"/>
        </w:rPr>
      </w:pPr>
    </w:p>
    <w:p w:rsidR="00791D2C" w:rsidRPr="00F15FF2" w:rsidRDefault="00791D2C" w:rsidP="00F15FF2">
      <w:pPr>
        <w:spacing w:after="0" w:line="360" w:lineRule="auto"/>
        <w:ind w:firstLine="709"/>
        <w:jc w:val="both"/>
        <w:rPr>
          <w:rFonts w:ascii="Times New Roman" w:hAnsi="Times New Roman"/>
          <w:sz w:val="28"/>
          <w:szCs w:val="28"/>
        </w:rPr>
      </w:pPr>
    </w:p>
    <w:sectPr w:rsidR="00791D2C" w:rsidRPr="00F15FF2" w:rsidSect="00020FA1">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D2C" w:rsidRDefault="00791D2C" w:rsidP="00981A11">
      <w:pPr>
        <w:spacing w:after="0" w:line="240" w:lineRule="auto"/>
      </w:pPr>
      <w:r>
        <w:separator/>
      </w:r>
    </w:p>
  </w:endnote>
  <w:endnote w:type="continuationSeparator" w:id="0">
    <w:p w:rsidR="00791D2C" w:rsidRDefault="00791D2C" w:rsidP="00981A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2C" w:rsidRDefault="00791D2C">
    <w:pPr>
      <w:pStyle w:val="Footer"/>
      <w:jc w:val="right"/>
    </w:pPr>
  </w:p>
  <w:p w:rsidR="00791D2C" w:rsidRDefault="00791D2C">
    <w:pPr>
      <w:pStyle w:val="Footer"/>
      <w:jc w:val="right"/>
    </w:pPr>
    <w:fldSimple w:instr="PAGE   \* MERGEFORMAT">
      <w:r>
        <w:rPr>
          <w:noProof/>
        </w:rPr>
        <w:t>2</w:t>
      </w:r>
    </w:fldSimple>
  </w:p>
  <w:p w:rsidR="00791D2C" w:rsidRDefault="00791D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D2C" w:rsidRDefault="00791D2C" w:rsidP="00981A11">
      <w:pPr>
        <w:spacing w:after="0" w:line="240" w:lineRule="auto"/>
      </w:pPr>
      <w:r>
        <w:separator/>
      </w:r>
    </w:p>
  </w:footnote>
  <w:footnote w:type="continuationSeparator" w:id="0">
    <w:p w:rsidR="00791D2C" w:rsidRDefault="00791D2C" w:rsidP="00981A1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5FF2"/>
    <w:rsid w:val="00020FA1"/>
    <w:rsid w:val="0008374A"/>
    <w:rsid w:val="000D01CC"/>
    <w:rsid w:val="002B706A"/>
    <w:rsid w:val="002C62C7"/>
    <w:rsid w:val="0035199E"/>
    <w:rsid w:val="006B39C7"/>
    <w:rsid w:val="00791D2C"/>
    <w:rsid w:val="00901B27"/>
    <w:rsid w:val="0091553B"/>
    <w:rsid w:val="00981A11"/>
    <w:rsid w:val="009D1B47"/>
    <w:rsid w:val="00A61292"/>
    <w:rsid w:val="00BF5EE2"/>
    <w:rsid w:val="00CE0DD4"/>
    <w:rsid w:val="00EB7EDB"/>
    <w:rsid w:val="00ED008C"/>
    <w:rsid w:val="00F15FF2"/>
    <w:rsid w:val="00FF4AE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FA1"/>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81A11"/>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981A11"/>
    <w:rPr>
      <w:rFonts w:cs="Times New Roman"/>
    </w:rPr>
  </w:style>
  <w:style w:type="paragraph" w:styleId="Footer">
    <w:name w:val="footer"/>
    <w:basedOn w:val="Normal"/>
    <w:link w:val="FooterChar"/>
    <w:uiPriority w:val="99"/>
    <w:rsid w:val="00981A11"/>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981A1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13</Pages>
  <Words>3140</Words>
  <Characters>17902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valer0n1@outlook.com</dc:creator>
  <cp:keywords/>
  <dc:description/>
  <cp:lastModifiedBy>Sergey</cp:lastModifiedBy>
  <cp:revision>5</cp:revision>
  <dcterms:created xsi:type="dcterms:W3CDTF">2020-02-25T08:35:00Z</dcterms:created>
  <dcterms:modified xsi:type="dcterms:W3CDTF">2021-09-30T18:25:00Z</dcterms:modified>
</cp:coreProperties>
</file>