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709"/>
        <w:jc w:val="both"/>
        <w:rPr/>
      </w:pPr>
      <w:r>
        <w:rPr>
          <w:b/>
          <w:sz w:val="24"/>
          <w:szCs w:val="24"/>
        </w:rPr>
        <w:t>ПРАКТИЧЕСКИЕ ЗАНЯТИЯ ПО ПСИХОЛОГИИ (СЕМИНАР)</w:t>
      </w:r>
    </w:p>
    <w:p>
      <w:pPr>
        <w:pStyle w:val="Normal"/>
        <w:ind w:firstLine="709"/>
        <w:jc w:val="center"/>
        <w:rPr>
          <w:b/>
          <w:b/>
          <w:bCs/>
          <w:sz w:val="28"/>
          <w:szCs w:val="28"/>
        </w:rPr>
      </w:pPr>
      <w:r>
        <w:rPr>
          <w:b/>
          <w:bCs/>
          <w:sz w:val="28"/>
          <w:szCs w:val="28"/>
        </w:rPr>
        <w:t>Практическое занятие 5.</w:t>
      </w:r>
    </w:p>
    <w:p>
      <w:pPr>
        <w:pStyle w:val="Normal"/>
        <w:ind w:firstLine="709"/>
        <w:jc w:val="both"/>
        <w:rPr>
          <w:b/>
          <w:b/>
          <w:sz w:val="28"/>
          <w:szCs w:val="28"/>
        </w:rPr>
      </w:pPr>
      <w:r>
        <w:rPr>
          <w:b/>
          <w:sz w:val="28"/>
          <w:szCs w:val="28"/>
        </w:rPr>
      </w:r>
    </w:p>
    <w:p>
      <w:pPr>
        <w:pStyle w:val="Normal"/>
        <w:ind w:firstLine="709"/>
        <w:jc w:val="both"/>
        <w:rPr>
          <w:b/>
          <w:b/>
          <w:sz w:val="28"/>
          <w:szCs w:val="28"/>
        </w:rPr>
      </w:pPr>
      <w:r>
        <w:rPr>
          <w:b/>
          <w:sz w:val="28"/>
          <w:szCs w:val="28"/>
        </w:rPr>
        <w:t xml:space="preserve">Тема:  Сензитивные и критические периоды в развитии человека </w:t>
      </w:r>
    </w:p>
    <w:p>
      <w:pPr>
        <w:pStyle w:val="Normal"/>
        <w:ind w:firstLine="709"/>
        <w:jc w:val="center"/>
        <w:rPr>
          <w:i/>
          <w:i/>
          <w:sz w:val="28"/>
          <w:szCs w:val="28"/>
        </w:rPr>
      </w:pPr>
      <w:r>
        <w:rPr>
          <w:i/>
          <w:sz w:val="28"/>
          <w:szCs w:val="28"/>
        </w:rPr>
        <w:t>Вопросы для подготовки к занятию</w:t>
      </w:r>
    </w:p>
    <w:p>
      <w:pPr>
        <w:pStyle w:val="Normal"/>
        <w:ind w:firstLine="709"/>
        <w:jc w:val="center"/>
        <w:rPr>
          <w:b/>
          <w:b/>
          <w:sz w:val="28"/>
          <w:szCs w:val="28"/>
        </w:rPr>
      </w:pPr>
      <w:r>
        <w:rPr>
          <w:b/>
          <w:sz w:val="28"/>
          <w:szCs w:val="28"/>
        </w:rPr>
      </w:r>
    </w:p>
    <w:p>
      <w:pPr>
        <w:pStyle w:val="ListParagraph"/>
        <w:numPr>
          <w:ilvl w:val="0"/>
          <w:numId w:val="1"/>
        </w:numPr>
        <w:tabs>
          <w:tab w:val="clear" w:pos="708"/>
          <w:tab w:val="left" w:pos="0" w:leader="none"/>
        </w:tabs>
        <w:ind w:left="0" w:firstLine="360"/>
        <w:jc w:val="both"/>
        <w:rPr>
          <w:sz w:val="28"/>
          <w:szCs w:val="28"/>
        </w:rPr>
      </w:pPr>
      <w:r>
        <w:rPr>
          <w:sz w:val="28"/>
          <w:szCs w:val="28"/>
        </w:rPr>
        <w:t>Для объяснения каких закономерностей развития используется понятие сензитивного периода?</w:t>
      </w:r>
    </w:p>
    <w:p>
      <w:pPr>
        <w:pStyle w:val="Normal"/>
        <w:numPr>
          <w:ilvl w:val="0"/>
          <w:numId w:val="1"/>
        </w:numPr>
        <w:tabs>
          <w:tab w:val="clear" w:pos="708"/>
          <w:tab w:val="left" w:pos="0" w:leader="none"/>
        </w:tabs>
        <w:ind w:left="0" w:firstLine="360"/>
        <w:jc w:val="both"/>
        <w:rPr>
          <w:sz w:val="28"/>
          <w:szCs w:val="28"/>
        </w:rPr>
      </w:pPr>
      <w:r>
        <w:rPr>
          <w:sz w:val="28"/>
          <w:szCs w:val="28"/>
        </w:rPr>
        <w:t>Каково значение понятия «критический период» в междисциплинарном контексте?</w:t>
      </w:r>
    </w:p>
    <w:p>
      <w:pPr>
        <w:pStyle w:val="Normal"/>
        <w:numPr>
          <w:ilvl w:val="0"/>
          <w:numId w:val="1"/>
        </w:numPr>
        <w:tabs>
          <w:tab w:val="clear" w:pos="708"/>
          <w:tab w:val="left" w:pos="0" w:leader="none"/>
        </w:tabs>
        <w:ind w:left="0" w:firstLine="360"/>
        <w:jc w:val="both"/>
        <w:rPr>
          <w:sz w:val="28"/>
          <w:szCs w:val="28"/>
        </w:rPr>
      </w:pPr>
      <w:r>
        <w:rPr>
          <w:sz w:val="28"/>
          <w:szCs w:val="28"/>
        </w:rPr>
        <w:t xml:space="preserve">В чем обнаруживается связь и различие между критическими и сензитивными периодами в возрастно-психологическом контексте? </w:t>
      </w:r>
    </w:p>
    <w:p>
      <w:pPr>
        <w:pStyle w:val="Normal"/>
        <w:numPr>
          <w:ilvl w:val="0"/>
          <w:numId w:val="1"/>
        </w:numPr>
        <w:tabs>
          <w:tab w:val="clear" w:pos="708"/>
          <w:tab w:val="left" w:pos="0" w:leader="none"/>
        </w:tabs>
        <w:ind w:left="0" w:firstLine="360"/>
        <w:jc w:val="both"/>
        <w:rPr>
          <w:sz w:val="28"/>
          <w:szCs w:val="28"/>
        </w:rPr>
      </w:pPr>
      <w:r>
        <w:rPr>
          <w:sz w:val="28"/>
          <w:szCs w:val="28"/>
        </w:rPr>
        <w:t>Есть ли общее в понимании кризиса развития отечественными и зарубежными психологами?</w:t>
      </w:r>
    </w:p>
    <w:p>
      <w:pPr>
        <w:pStyle w:val="Normal"/>
        <w:tabs>
          <w:tab w:val="clear" w:pos="708"/>
          <w:tab w:val="left" w:pos="0" w:leader="none"/>
        </w:tabs>
        <w:ind w:firstLine="360"/>
        <w:rPr>
          <w:sz w:val="28"/>
          <w:szCs w:val="28"/>
        </w:rPr>
      </w:pPr>
      <w:r>
        <w:rPr>
          <w:sz w:val="28"/>
          <w:szCs w:val="28"/>
        </w:rPr>
      </w:r>
    </w:p>
    <w:p>
      <w:pPr>
        <w:pStyle w:val="Normal"/>
        <w:tabs>
          <w:tab w:val="clear" w:pos="708"/>
          <w:tab w:val="left" w:pos="0" w:leader="none"/>
        </w:tabs>
        <w:ind w:firstLine="360"/>
        <w:jc w:val="both"/>
        <w:rPr>
          <w:sz w:val="28"/>
          <w:szCs w:val="28"/>
          <w:u w:val="single"/>
        </w:rPr>
      </w:pPr>
      <w:r>
        <w:rPr>
          <w:sz w:val="28"/>
          <w:szCs w:val="28"/>
          <w:u w:val="single"/>
        </w:rPr>
        <w:t>Для подготовки ответов на данные вопросы необходимо обратиться к научной литературе (список представлен в конце документа), а также к информационным материалам Приложения.</w:t>
      </w:r>
    </w:p>
    <w:p>
      <w:pPr>
        <w:pStyle w:val="Normal"/>
        <w:ind w:firstLine="709"/>
        <w:jc w:val="right"/>
        <w:rPr>
          <w:b/>
          <w:b/>
          <w:sz w:val="24"/>
          <w:szCs w:val="24"/>
        </w:rPr>
      </w:pPr>
      <w:r>
        <w:rPr>
          <w:b/>
          <w:sz w:val="24"/>
          <w:szCs w:val="24"/>
        </w:rPr>
        <w:t xml:space="preserve">Приложение к теме </w:t>
      </w:r>
    </w:p>
    <w:p>
      <w:pPr>
        <w:pStyle w:val="Normal"/>
        <w:shd w:val="clear" w:color="auto" w:fill="FFFFFF"/>
        <w:ind w:firstLine="720"/>
        <w:jc w:val="both"/>
        <w:rPr>
          <w:sz w:val="24"/>
          <w:szCs w:val="25"/>
        </w:rPr>
      </w:pPr>
      <w:r>
        <w:rPr>
          <w:sz w:val="24"/>
          <w:szCs w:val="25"/>
        </w:rPr>
      </w:r>
    </w:p>
    <w:p>
      <w:pPr>
        <w:pStyle w:val="Normal"/>
        <w:shd w:val="clear" w:color="auto" w:fill="FFFFFF"/>
        <w:ind w:firstLine="720"/>
        <w:jc w:val="both"/>
        <w:rPr>
          <w:sz w:val="24"/>
          <w:szCs w:val="25"/>
        </w:rPr>
      </w:pPr>
      <w:r>
        <w:rPr>
          <w:b/>
          <w:sz w:val="24"/>
          <w:szCs w:val="25"/>
        </w:rPr>
        <w:t xml:space="preserve">Источник: </w:t>
      </w:r>
      <w:r>
        <w:rPr>
          <w:sz w:val="24"/>
          <w:szCs w:val="25"/>
        </w:rPr>
        <w:t>Лейтес Н.С. Возрастная одаренность и индивидуальные различия: избранный труды. – М.: Издательство Московского психолого-социального института; Воронеж: Издательство НПО «МОДЭК», 2003. – С. 395 – 398.</w:t>
      </w:r>
    </w:p>
    <w:p>
      <w:pPr>
        <w:pStyle w:val="Normal"/>
        <w:shd w:val="clear" w:color="auto" w:fill="FFFFFF"/>
        <w:ind w:firstLine="720"/>
        <w:jc w:val="both"/>
        <w:rPr>
          <w:sz w:val="24"/>
          <w:szCs w:val="25"/>
        </w:rPr>
      </w:pPr>
      <w:r>
        <w:rPr>
          <w:sz w:val="24"/>
          <w:szCs w:val="25"/>
        </w:rPr>
        <w:t>«Периоды повышенной восприимчивости к определенным воздействиям иногда называют “критическими”. На различии между критическими и сензитивными периодами следует остановиться подробнее.</w:t>
      </w:r>
    </w:p>
    <w:p>
      <w:pPr>
        <w:pStyle w:val="Normal"/>
        <w:shd w:val="clear" w:color="auto" w:fill="FFFFFF"/>
        <w:ind w:firstLine="720"/>
        <w:jc w:val="both"/>
        <w:rPr>
          <w:sz w:val="24"/>
        </w:rPr>
      </w:pPr>
      <w:r>
        <w:rPr>
          <w:sz w:val="24"/>
          <w:szCs w:val="24"/>
        </w:rPr>
        <w:t>Термин “критический период” принят в эмбриологии, в частности эмбриологии человека, и в физиологии развития человека для обозначения “узловых точек онтогенеза”… Имеется в виду сравнительно короткое время переходов от одного возрастною этапа к другому, когда начинается преобразование деятельности различных систем организма, детерминирующее последующий период развития. В такие переломные периоды возрастного развития повышается чувствительность к неадекватным раздражителям, а тем самым и “повреждаемость” организма. В этом главный отличительный признак чувствительности “критического периода”, подчеркиваемый в физиологии развития.</w:t>
      </w:r>
    </w:p>
    <w:p>
      <w:pPr>
        <w:pStyle w:val="Normal"/>
        <w:shd w:val="clear" w:color="auto" w:fill="FFFFFF"/>
        <w:ind w:firstLine="720"/>
        <w:jc w:val="both"/>
        <w:rPr>
          <w:sz w:val="24"/>
        </w:rPr>
      </w:pPr>
      <w:r>
        <w:rPr>
          <w:sz w:val="24"/>
          <w:szCs w:val="24"/>
        </w:rPr>
        <w:t>В последние годы представление о повышенной восприимчивости в “критические периоды” углубляется и уточняется, но в центре внимания все же остается именно опасность для организма в эти периоды повреждающих воздействий. Таким образом, в возрастной физиологии “критические периоды” рассматриваются главным образом с позиций возможности нарушения нормального хода развития, а не с точки зрения сензитивности индивида к формирующим факторам деятельности или среды.</w:t>
      </w:r>
    </w:p>
    <w:p>
      <w:pPr>
        <w:pStyle w:val="Normal"/>
        <w:shd w:val="clear" w:color="auto" w:fill="FFFFFF"/>
        <w:ind w:firstLine="720"/>
        <w:jc w:val="both"/>
        <w:rPr>
          <w:sz w:val="24"/>
        </w:rPr>
      </w:pPr>
      <w:r>
        <w:rPr>
          <w:sz w:val="24"/>
          <w:szCs w:val="24"/>
        </w:rPr>
        <w:t>Применительно к собственно психическому развитию детей и подростков “критические периоды” были рассмотрены Л.С. Выготским. Он считал, что переломные, критические периоды в жизни ребенка, называемые им также “кризисами”, обусловлены внутренней логикой самого процесса развития. Он насчитывал пять таких периодов: “Кризис новорожденности отделяет эмбриональный период развития ребенка от младенческого возраста. Кризис одного года отделяет младенчество от раннего детства. Кризис трех лет является переходным от раннего детства к дошкольному возрасту. Кризис семи лет является соединительным звеном между дошкольным и школьным возрастом. Наконец, кризис тринадцати лет совпадает с переломом развития при переходе от школьного к пубертатному возрасту”. По Выготскому, в критические периоды возникают такие новообразования, которые не сохраняются в последующем возрасте, но лишь участвуют в развитии, приводящем в стабильные возрастные периоды к более устойчивым новообразованиям.</w:t>
      </w:r>
    </w:p>
    <w:p>
      <w:pPr>
        <w:pStyle w:val="Normal"/>
        <w:shd w:val="clear" w:color="auto" w:fill="FFFFFF"/>
        <w:ind w:firstLine="720"/>
        <w:jc w:val="both"/>
        <w:rPr>
          <w:sz w:val="24"/>
        </w:rPr>
      </w:pPr>
      <w:r>
        <w:rPr>
          <w:sz w:val="24"/>
          <w:szCs w:val="24"/>
        </w:rPr>
        <w:t>Как же характеризует Выготский протекание самих критических периодов? Он отмечает, что развитие в каждом из таких возрастов часто сопровождается более или менее острыми конфликтами ребенка с окружающими. Ребенок в это время становится более трудно воспитуемым, чем в смежном стабильном периоде. Более того, “всякий ребенок в период кризиса снижает темп продвижения сравнительно с темпом, характерным для стабильных периодов”. Насколько не совпадает такая симптоматика критических, или кризисных, периодов с представлением о сензитивных периодах как оптимальных периодах обучения!</w:t>
      </w:r>
    </w:p>
    <w:p>
      <w:pPr>
        <w:pStyle w:val="Normal"/>
        <w:shd w:val="clear" w:color="auto" w:fill="FFFFFF"/>
        <w:ind w:firstLine="720"/>
        <w:jc w:val="both"/>
        <w:rPr>
          <w:sz w:val="24"/>
        </w:rPr>
      </w:pPr>
      <w:r>
        <w:rPr>
          <w:sz w:val="24"/>
          <w:szCs w:val="24"/>
        </w:rPr>
        <w:t>Выготский отмечает вместе с тем, что “развитие никогда не прекращает свою созидательную работу” и что “негативное содержание развития в эти периоды является только обратной или теневой стороной позитивных изменений личности, составляющих главный и основной смысл всякого критического возраста”. Судя по всему контексту цитируемой работы, несомненно, что переломные, критические, кризисные моменты развития отнюдь не могут рассматриваться как наиболее характерные для детской сензитивности. Показательно, что само слово “сензитивный” в рассматриваемой работе, посвященной в основном критическим периодам, ни разу не встречается.</w:t>
      </w:r>
    </w:p>
    <w:p>
      <w:pPr>
        <w:pStyle w:val="Normal"/>
        <w:shd w:val="clear" w:color="auto" w:fill="FFFFFF"/>
        <w:ind w:firstLine="720"/>
        <w:jc w:val="both"/>
        <w:rPr>
          <w:sz w:val="24"/>
          <w:szCs w:val="24"/>
        </w:rPr>
      </w:pPr>
      <w:r>
        <w:rPr>
          <w:sz w:val="24"/>
          <w:szCs w:val="24"/>
        </w:rPr>
        <w:t>Толкование критических периодов у Выготского имеет существенные точки соприкосновения с пониманием критических периодов в физиологии развития. И там и тут – это наиболее ответственные, поворотные пункты развития, когда на протяжении относительно короткого времени происходят очень значимые для дальнейшего, резкие сдвиги. И там и тут на первый план выступают связанные с этим трудности и опасности для растущего человека, требующие внимания воспитателей.</w:t>
      </w:r>
    </w:p>
    <w:p>
      <w:pPr>
        <w:pStyle w:val="Normal"/>
        <w:shd w:val="clear" w:color="auto" w:fill="FFFFFF"/>
        <w:ind w:firstLine="720"/>
        <w:jc w:val="both"/>
        <w:rPr>
          <w:sz w:val="24"/>
          <w:szCs w:val="24"/>
        </w:rPr>
      </w:pPr>
      <w:r>
        <w:rPr>
          <w:sz w:val="24"/>
          <w:szCs w:val="24"/>
        </w:rPr>
        <w:t>В таком же плане, вслед за Выготским, рассматриваются критические периоды возрастного развития Д.Б. Элькониным, В. В. Давыдовым. Они также не связывают переломные, критические периоды специально с сензитивностью ребенка к формирующим воздействиям, к обучению и, говоря о критических, кризисных периодах, вообще не вспоминают о сензитивности.</w:t>
      </w:r>
    </w:p>
    <w:p>
      <w:pPr>
        <w:pStyle w:val="Normal"/>
        <w:shd w:val="clear" w:color="auto" w:fill="FFFFFF"/>
        <w:ind w:firstLine="720"/>
        <w:jc w:val="both"/>
        <w:rPr>
          <w:sz w:val="24"/>
          <w:szCs w:val="24"/>
        </w:rPr>
      </w:pPr>
      <w:r>
        <w:rPr>
          <w:sz w:val="24"/>
          <w:szCs w:val="24"/>
        </w:rPr>
        <w:t>Что же означают приводившиеся выше слова Выготского о том, что сензитивные периоды “совпадают вполне с тем, что мы называли оптимальными сроками обучения”? По-видимому, эти слова относятся, по преимуществу, не к переломным, не к критическим периодам, а к периодам относительно стабильным, т.е. основным детским возрастам.</w:t>
      </w:r>
    </w:p>
    <w:p>
      <w:pPr>
        <w:pStyle w:val="Normal"/>
        <w:shd w:val="clear" w:color="auto" w:fill="FFFFFF"/>
        <w:ind w:firstLine="720"/>
        <w:jc w:val="both"/>
        <w:rPr>
          <w:sz w:val="24"/>
          <w:szCs w:val="24"/>
        </w:rPr>
      </w:pPr>
      <w:r>
        <w:rPr>
          <w:sz w:val="24"/>
          <w:szCs w:val="24"/>
        </w:rPr>
        <w:t>Таким образом, судя по всему, периоды “критические”, или “кризисные”, – это не то же самое, что “сензитивные”. Сопоставляемые выражения не синонимичны: термин “сензитивный период” указывает на другой аспект рассмотрения и выражает более широкое понятие &lt;…&gt;</w:t>
      </w:r>
    </w:p>
    <w:p>
      <w:pPr>
        <w:pStyle w:val="Normal"/>
        <w:shd w:val="clear" w:color="auto" w:fill="FFFFFF"/>
        <w:ind w:firstLine="720"/>
        <w:jc w:val="both"/>
        <w:rPr>
          <w:sz w:val="24"/>
          <w:szCs w:val="24"/>
        </w:rPr>
      </w:pPr>
      <w:r>
        <w:rPr>
          <w:sz w:val="24"/>
          <w:szCs w:val="24"/>
        </w:rPr>
        <w:t>Несомненно, однако, что по-своему сензитивны и критические периоды, но хотелось бы подчеркнуть, что проблема сензитивных периодов отнюдь не сводится именно к критическим возрастам».</w:t>
      </w:r>
    </w:p>
    <w:p>
      <w:pPr>
        <w:pStyle w:val="Normal"/>
        <w:shd w:val="clear" w:color="auto" w:fill="FFFFFF"/>
        <w:ind w:firstLine="720"/>
        <w:jc w:val="both"/>
        <w:rPr>
          <w:sz w:val="24"/>
          <w:szCs w:val="24"/>
        </w:rPr>
      </w:pPr>
      <w:r>
        <w:rPr>
          <w:sz w:val="24"/>
          <w:szCs w:val="24"/>
        </w:rPr>
      </w:r>
    </w:p>
    <w:p>
      <w:pPr>
        <w:pStyle w:val="Normal"/>
        <w:shd w:val="clear" w:color="auto" w:fill="FFFFFF"/>
        <w:ind w:firstLine="720"/>
        <w:jc w:val="center"/>
        <w:rPr>
          <w:b/>
          <w:b/>
          <w:sz w:val="24"/>
          <w:szCs w:val="24"/>
        </w:rPr>
      </w:pPr>
      <w:r>
        <w:rPr>
          <w:b/>
          <w:sz w:val="24"/>
          <w:szCs w:val="24"/>
        </w:rPr>
        <w:t>Литература:</w:t>
      </w:r>
    </w:p>
    <w:p>
      <w:pPr>
        <w:pStyle w:val="Normal"/>
        <w:widowControl w:val="false"/>
        <w:shd w:val="clear" w:color="auto" w:fill="FFFFFF"/>
        <w:tabs>
          <w:tab w:val="clear" w:pos="708"/>
          <w:tab w:val="left" w:pos="0" w:leader="none"/>
          <w:tab w:val="left" w:pos="180" w:leader="none"/>
          <w:tab w:val="left" w:pos="993" w:leader="none"/>
        </w:tabs>
        <w:ind w:left="0" w:firstLine="709"/>
        <w:jc w:val="both"/>
        <w:rPr>
          <w:color w:val="000000"/>
          <w:sz w:val="24"/>
          <w:szCs w:val="24"/>
        </w:rPr>
      </w:pPr>
      <w:r>
        <w:rPr>
          <w:color w:val="000000"/>
          <w:sz w:val="24"/>
          <w:szCs w:val="24"/>
        </w:rPr>
        <w:t>Лейтес Н.С. Возрастная одаренность и индивидуальные различия: избранные труды. – М.: Издательство Московского психолого-социального института; Воронеж: Издательство НПО «МОДЭК», 2003. – С. 57-63; 393-408.</w:t>
      </w:r>
    </w:p>
    <w:p>
      <w:pPr>
        <w:pStyle w:val="Normal"/>
        <w:widowControl w:val="false"/>
        <w:shd w:val="clear" w:color="auto" w:fill="FFFFFF"/>
        <w:tabs>
          <w:tab w:val="clear" w:pos="708"/>
          <w:tab w:val="left" w:pos="0" w:leader="none"/>
          <w:tab w:val="left" w:pos="180" w:leader="none"/>
          <w:tab w:val="left" w:pos="993" w:leader="none"/>
        </w:tabs>
        <w:ind w:left="0" w:firstLine="709"/>
        <w:jc w:val="both"/>
        <w:rPr>
          <w:sz w:val="24"/>
        </w:rPr>
      </w:pPr>
      <w:r>
        <w:rPr>
          <w:sz w:val="24"/>
        </w:rPr>
        <w:t>Поливанова К.Н. Психология возрастных кризисов: Учеб. Пособие для студ. высш. пед. учеб. заведений. – М.: «Академия», 2000. – С. 5 – 6.</w:t>
      </w:r>
    </w:p>
    <w:p>
      <w:pPr>
        <w:pStyle w:val="Normal"/>
        <w:tabs>
          <w:tab w:val="clear" w:pos="708"/>
          <w:tab w:val="left" w:pos="0" w:leader="none"/>
          <w:tab w:val="left" w:pos="993" w:leader="none"/>
        </w:tabs>
        <w:ind w:left="0" w:firstLine="709"/>
        <w:jc w:val="both"/>
        <w:rPr>
          <w:sz w:val="24"/>
          <w:szCs w:val="24"/>
        </w:rPr>
      </w:pPr>
      <w:r>
        <w:rPr>
          <w:sz w:val="24"/>
          <w:szCs w:val="24"/>
        </w:rPr>
        <w:t>Психология развития: Учеб. для студ. высш. психол. учеб. заведений /Т.Д. Марцинковская, Т.М. Марютина, Т.Г. Стефаненко и др.; Под ред. Т.Д. Марцинковской. – 2-е изд., перераб. И доп. – М.: Издательский центр «Академия», 2005. – С. 346-376.</w:t>
      </w:r>
    </w:p>
    <w:p>
      <w:pPr>
        <w:pStyle w:val="Normal"/>
        <w:tabs>
          <w:tab w:val="clear" w:pos="708"/>
          <w:tab w:val="left" w:pos="0" w:leader="none"/>
          <w:tab w:val="left" w:pos="993" w:leader="none"/>
          <w:tab w:val="left" w:pos="1204" w:leader="none"/>
        </w:tabs>
        <w:ind w:left="0" w:firstLine="709"/>
        <w:jc w:val="both"/>
        <w:rPr>
          <w:sz w:val="24"/>
          <w:szCs w:val="24"/>
        </w:rPr>
      </w:pPr>
      <w:r>
        <w:rPr>
          <w:sz w:val="24"/>
          <w:szCs w:val="24"/>
        </w:rPr>
        <w:t>Слободчиков В.И., Исаев Е.И. Основы психологической антропологии. Психология развития человека: Учебное пособие для вузов. – М., 2000.</w:t>
      </w:r>
    </w:p>
    <w:p>
      <w:pPr>
        <w:pStyle w:val="Normal"/>
        <w:widowControl w:val="false"/>
        <w:shd w:val="clear" w:color="auto" w:fill="FFFFFF"/>
        <w:tabs>
          <w:tab w:val="clear" w:pos="708"/>
          <w:tab w:val="left" w:pos="0" w:leader="none"/>
          <w:tab w:val="left" w:pos="426" w:leader="none"/>
          <w:tab w:val="left" w:pos="993" w:leader="none"/>
        </w:tabs>
        <w:ind w:left="0" w:firstLine="709"/>
        <w:jc w:val="both"/>
        <w:rPr>
          <w:color w:val="000000"/>
          <w:sz w:val="24"/>
        </w:rPr>
      </w:pPr>
      <w:r>
        <w:rPr>
          <w:color w:val="000000"/>
          <w:sz w:val="24"/>
          <w:szCs w:val="24"/>
        </w:rPr>
        <w:t>Эльконин Д.Б. Психическое развитие в детских возрастах: Избранные психологические труды/ Под ред. Д.И. Фельдштейна; Вступительная статья Д.И. Фельдштейна. – 3-е изд. – М.: Московский психолого-социальный институт, Воронеж: НПО «МОДЭК», 2001. – С. 36-38.</w:t>
      </w:r>
      <w:r>
        <w:rPr>
          <w:sz w:val="24"/>
        </w:rPr>
        <w:t xml:space="preserve"> </w:t>
      </w:r>
    </w:p>
    <w:p>
      <w:pPr>
        <w:pStyle w:val="Normal"/>
        <w:widowControl w:val="false"/>
        <w:shd w:val="clear" w:color="auto" w:fill="FFFFFF"/>
        <w:tabs>
          <w:tab w:val="clear" w:pos="708"/>
          <w:tab w:val="left" w:pos="0" w:leader="none"/>
          <w:tab w:val="left" w:pos="426" w:leader="none"/>
          <w:tab w:val="left" w:pos="993" w:leader="none"/>
        </w:tabs>
        <w:spacing w:before="0" w:after="200"/>
        <w:ind w:left="0" w:firstLine="709"/>
        <w:jc w:val="both"/>
        <w:rPr/>
      </w:pPr>
      <w:r>
        <w:rPr>
          <w:bCs/>
          <w:sz w:val="24"/>
          <w:szCs w:val="21"/>
        </w:rPr>
        <w:t xml:space="preserve">Эриксон Э. Идентичность: юность и кризис. – М.: Издательская группа «Прогресс», 1996. – </w:t>
      </w:r>
      <w:r>
        <w:rPr>
          <w:bCs/>
          <w:color w:val="000000"/>
          <w:sz w:val="24"/>
          <w:szCs w:val="21"/>
        </w:rPr>
        <w:t>С. 101 – 106.</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Times New Roman">
    <w:charset w:val="01"/>
    <w:family w:val="roman"/>
    <w:pitch w:val="variable"/>
  </w:font>
  <w:font w:name="Liberation Sans">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900"/>
        </w:tabs>
        <w:ind w:left="900" w:hanging="360"/>
      </w:pPr>
      <w:rPr>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4c73"/>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WW8Num56z0">
    <w:name w:val="WW8Num56z0"/>
    <w:qFormat/>
    <w:rPr/>
  </w:style>
  <w:style w:type="character" w:styleId="WW8Num56z1">
    <w:name w:val="WW8Num56z1"/>
    <w:qFormat/>
    <w:rPr/>
  </w:style>
  <w:style w:type="character" w:styleId="WW8Num56z2">
    <w:name w:val="WW8Num56z2"/>
    <w:qFormat/>
    <w:rPr/>
  </w:style>
  <w:style w:type="character" w:styleId="WW8Num56z3">
    <w:name w:val="WW8Num56z3"/>
    <w:qFormat/>
    <w:rPr/>
  </w:style>
  <w:style w:type="character" w:styleId="WW8Num56z4">
    <w:name w:val="WW8Num56z4"/>
    <w:qFormat/>
    <w:rPr/>
  </w:style>
  <w:style w:type="character" w:styleId="WW8Num56z5">
    <w:name w:val="WW8Num56z5"/>
    <w:qFormat/>
    <w:rPr/>
  </w:style>
  <w:style w:type="character" w:styleId="WW8Num56z6">
    <w:name w:val="WW8Num56z6"/>
    <w:qFormat/>
    <w:rPr/>
  </w:style>
  <w:style w:type="character" w:styleId="WW8Num56z7">
    <w:name w:val="WW8Num56z7"/>
    <w:qFormat/>
    <w:rPr/>
  </w:style>
  <w:style w:type="character" w:styleId="WW8Num56z8">
    <w:name w:val="WW8Num56z8"/>
    <w:qFormat/>
    <w:rPr/>
  </w:style>
  <w:style w:type="character" w:styleId="Style14">
    <w:name w:val="Основной шрифт абзаца"/>
    <w:qFormat/>
    <w:rPr/>
  </w:style>
  <w:style w:type="character" w:styleId="Style15">
    <w:name w:val="Символ сноски"/>
    <w:basedOn w:val="Style14"/>
    <w:qFormat/>
    <w:rPr>
      <w:vertAlign w:val="superscript"/>
    </w:rPr>
  </w:style>
  <w:style w:type="character" w:styleId="WW8Num23z0">
    <w:name w:val="WW8Num23z0"/>
    <w:qFormat/>
    <w:rPr>
      <w:rFonts w:ascii="Symbol" w:hAnsi="Symbol" w:cs="Times New Roman CYR"/>
      <w:sz w:val="24"/>
      <w:szCs w:val="24"/>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30z0">
    <w:name w:val="WW8Num30z0"/>
    <w:qFormat/>
    <w:rPr>
      <w:sz w:val="24"/>
      <w:szCs w:val="24"/>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Style16">
    <w:name w:val="Привязка сноски"/>
    <w:rPr>
      <w:vertAlign w:val="superscript"/>
    </w:rPr>
  </w:style>
  <w:style w:type="character" w:styleId="Style17">
    <w:name w:val="Привязка концевой сноски"/>
    <w:rPr>
      <w:vertAlign w:val="superscript"/>
    </w:rPr>
  </w:style>
  <w:style w:type="character" w:styleId="Style18">
    <w:name w:val="Символ концевой сноски"/>
    <w:qFormat/>
    <w:rPr/>
  </w:style>
  <w:style w:type="character" w:styleId="Style19">
    <w:name w:val="Интернет-ссылка"/>
    <w:rPr>
      <w:color w:val="000080"/>
      <w:u w:val="single"/>
      <w:lang w:val="zxx" w:eastAsia="zxx" w:bidi="zxx"/>
    </w:rPr>
  </w:style>
  <w:style w:type="character" w:styleId="WW8Num36z0">
    <w:name w:val="WW8Num36z0"/>
    <w:qFormat/>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14z0">
    <w:name w:val="WW8Num14z0"/>
    <w:qFormat/>
    <w:rPr>
      <w:rFonts w:ascii="Symbol" w:hAnsi="Symbol" w:cs="Symbol"/>
      <w:sz w:val="24"/>
      <w:szCs w:val="24"/>
    </w:rPr>
  </w:style>
  <w:style w:type="character" w:styleId="WW8Num14z1">
    <w:name w:val="WW8Num14z1"/>
    <w:qFormat/>
    <w:rPr/>
  </w:style>
  <w:style w:type="character" w:styleId="WW8Num14z2">
    <w:name w:val="WW8Num14z2"/>
    <w:qFormat/>
    <w:rPr>
      <w:rFonts w:ascii="Wingdings" w:hAnsi="Wingdings" w:cs="Wingdings"/>
    </w:rPr>
  </w:style>
  <w:style w:type="character" w:styleId="WW8Num14z4">
    <w:name w:val="WW8Num14z4"/>
    <w:qFormat/>
    <w:rPr>
      <w:rFonts w:ascii="Courier New" w:hAnsi="Courier New" w:cs="Courier New"/>
    </w:rPr>
  </w:style>
  <w:style w:type="character" w:styleId="WW8Num61z0">
    <w:name w:val="WW8Num61z0"/>
    <w:qFormat/>
    <w:rPr/>
  </w:style>
  <w:style w:type="character" w:styleId="WW8Num61z1">
    <w:name w:val="WW8Num61z1"/>
    <w:qFormat/>
    <w:rPr/>
  </w:style>
  <w:style w:type="character" w:styleId="WW8Num61z2">
    <w:name w:val="WW8Num61z2"/>
    <w:qFormat/>
    <w:rPr/>
  </w:style>
  <w:style w:type="character" w:styleId="WW8Num61z3">
    <w:name w:val="WW8Num61z3"/>
    <w:qFormat/>
    <w:rPr/>
  </w:style>
  <w:style w:type="character" w:styleId="WW8Num61z4">
    <w:name w:val="WW8Num61z4"/>
    <w:qFormat/>
    <w:rPr/>
  </w:style>
  <w:style w:type="character" w:styleId="WW8Num61z5">
    <w:name w:val="WW8Num61z5"/>
    <w:qFormat/>
    <w:rPr/>
  </w:style>
  <w:style w:type="character" w:styleId="WW8Num61z6">
    <w:name w:val="WW8Num61z6"/>
    <w:qFormat/>
    <w:rPr/>
  </w:style>
  <w:style w:type="character" w:styleId="WW8Num61z7">
    <w:name w:val="WW8Num61z7"/>
    <w:qFormat/>
    <w:rPr/>
  </w:style>
  <w:style w:type="character" w:styleId="WW8Num61z8">
    <w:name w:val="WW8Num61z8"/>
    <w:qFormat/>
    <w:rPr/>
  </w:style>
  <w:style w:type="character" w:styleId="WW8Num77z0">
    <w:name w:val="WW8Num77z0"/>
    <w:qFormat/>
    <w:rPr>
      <w:color w:val="000000"/>
      <w:sz w:val="24"/>
      <w:szCs w:val="24"/>
    </w:rPr>
  </w:style>
  <w:style w:type="character" w:styleId="WW8Num77z1">
    <w:name w:val="WW8Num77z1"/>
    <w:qFormat/>
    <w:rPr>
      <w:rFonts w:ascii="Symbol" w:hAnsi="Symbol" w:cs="Symbol"/>
    </w:rPr>
  </w:style>
  <w:style w:type="character" w:styleId="WW8Num77z2">
    <w:name w:val="WW8Num77z2"/>
    <w:qFormat/>
    <w:rPr/>
  </w:style>
  <w:style w:type="character" w:styleId="WW8Num77z3">
    <w:name w:val="WW8Num77z3"/>
    <w:qFormat/>
    <w:rPr/>
  </w:style>
  <w:style w:type="character" w:styleId="WW8Num77z4">
    <w:name w:val="WW8Num77z4"/>
    <w:qFormat/>
    <w:rPr/>
  </w:style>
  <w:style w:type="character" w:styleId="WW8Num77z5">
    <w:name w:val="WW8Num77z5"/>
    <w:qFormat/>
    <w:rPr/>
  </w:style>
  <w:style w:type="character" w:styleId="WW8Num77z6">
    <w:name w:val="WW8Num77z6"/>
    <w:qFormat/>
    <w:rPr/>
  </w:style>
  <w:style w:type="character" w:styleId="WW8Num77z7">
    <w:name w:val="WW8Num77z7"/>
    <w:qFormat/>
    <w:rPr/>
  </w:style>
  <w:style w:type="character" w:styleId="WW8Num77z8">
    <w:name w:val="WW8Num77z8"/>
    <w:qFormat/>
    <w:rPr/>
  </w:style>
  <w:style w:type="character" w:styleId="WW8Num42z0">
    <w:name w:val="WW8Num42z0"/>
    <w:qFormat/>
    <w:rPr>
      <w:sz w:val="24"/>
      <w:szCs w:val="24"/>
    </w:rPr>
  </w:style>
  <w:style w:type="character" w:styleId="WW8Num41z0">
    <w:name w:val="WW8Num41z0"/>
    <w:qFormat/>
    <w:rPr>
      <w:rFonts w:ascii="Symbol" w:hAnsi="Symbol" w:cs="Symbol"/>
      <w:sz w:val="24"/>
      <w:szCs w:val="24"/>
    </w:rPr>
  </w:style>
  <w:style w:type="character" w:styleId="WW8Num10z0">
    <w:name w:val="WW8Num10z0"/>
    <w:qFormat/>
    <w:rPr>
      <w:rFonts w:ascii="Symbol" w:hAnsi="Symbol" w:cs="Symbol"/>
      <w:sz w:val="24"/>
      <w:szCs w:val="24"/>
    </w:rPr>
  </w:style>
  <w:style w:type="character" w:styleId="WW8Num32z0">
    <w:name w:val="WW8Num32z0"/>
    <w:qFormat/>
    <w:rPr>
      <w:rFonts w:ascii="Symbol" w:hAnsi="Symbol" w:cs="Symbol"/>
    </w:rPr>
  </w:style>
  <w:style w:type="character" w:styleId="WW8Num51z0">
    <w:name w:val="WW8Num51z0"/>
    <w:qFormat/>
    <w:rPr>
      <w:rFonts w:ascii="Symbol" w:hAnsi="Symbol" w:cs="Symbol"/>
      <w:sz w:val="24"/>
      <w:szCs w:val="24"/>
    </w:rPr>
  </w:style>
  <w:style w:type="character" w:styleId="WW8Num40z0">
    <w:name w:val="WW8Num40z0"/>
    <w:qFormat/>
    <w:rPr>
      <w:color w:val="000000"/>
      <w:sz w:val="24"/>
      <w:szCs w:val="24"/>
      <w:highlight w:val="yellow"/>
    </w:rPr>
  </w:style>
  <w:style w:type="character" w:styleId="WW8Num72z0">
    <w:name w:val="WW8Num72z0"/>
    <w:qFormat/>
    <w:rPr/>
  </w:style>
  <w:style w:type="character" w:styleId="WW8Num78z0">
    <w:name w:val="WW8Num78z0"/>
    <w:qFormat/>
    <w:rPr>
      <w:i/>
      <w:color w:val="000000"/>
      <w:sz w:val="24"/>
      <w:szCs w:val="24"/>
      <w:highlight w:val="yellow"/>
    </w:rPr>
  </w:style>
  <w:style w:type="character" w:styleId="WW8Num18z0">
    <w:name w:val="WW8Num18z0"/>
    <w:qFormat/>
    <w:rPr>
      <w:rFonts w:ascii="Symbol" w:hAnsi="Symbol" w:cs="Times New Roman CYR"/>
      <w:sz w:val="24"/>
      <w:szCs w:val="24"/>
    </w:rPr>
  </w:style>
  <w:style w:type="character" w:styleId="WW8Num55z0">
    <w:name w:val="WW8Num55z0"/>
    <w:qFormat/>
    <w:rPr>
      <w:rFonts w:ascii="Wingdings" w:hAnsi="Wingdings" w:cs="Wingdings"/>
      <w:sz w:val="24"/>
      <w:szCs w:val="24"/>
    </w:rPr>
  </w:style>
  <w:style w:type="character" w:styleId="WW8Num67z0">
    <w:name w:val="WW8Num67z0"/>
    <w:qFormat/>
    <w:rPr>
      <w:rFonts w:ascii="Wingdings" w:hAnsi="Wingdings" w:cs="Wingdings"/>
      <w:sz w:val="24"/>
      <w:szCs w:val="24"/>
    </w:rPr>
  </w:style>
  <w:style w:type="character" w:styleId="WW8Num4z0">
    <w:name w:val="WW8Num4z0"/>
    <w:qFormat/>
    <w:rPr>
      <w:sz w:val="24"/>
      <w:szCs w:val="24"/>
    </w:rPr>
  </w:style>
  <w:style w:type="character" w:styleId="WW8Num25z0">
    <w:name w:val="WW8Num25z0"/>
    <w:qFormat/>
    <w:rPr/>
  </w:style>
  <w:style w:type="character" w:styleId="WW8Num25z1">
    <w:name w:val="WW8Num25z1"/>
    <w:qFormat/>
    <w:rPr>
      <w:rFonts w:ascii="Symbol" w:hAnsi="Symbol" w:cs="Symbol"/>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53z0">
    <w:name w:val="WW8Num53z0"/>
    <w:qFormat/>
    <w:rPr>
      <w:sz w:val="24"/>
      <w:szCs w:val="24"/>
    </w:rPr>
  </w:style>
  <w:style w:type="character" w:styleId="WW8Num29z0">
    <w:name w:val="WW8Num29z0"/>
    <w:qFormat/>
    <w:rPr>
      <w:color w:val="000000"/>
      <w:sz w:val="24"/>
      <w:szCs w:val="24"/>
    </w:rPr>
  </w:style>
  <w:style w:type="character" w:styleId="WW8Num34z0">
    <w:name w:val="WW8Num34z0"/>
    <w:qFormat/>
    <w:rPr>
      <w:rFonts w:ascii="Times New Roman" w:hAnsi="Times New Roman" w:eastAsia="Times New Roman" w:cs="Times New Roman"/>
      <w:sz w:val="24"/>
      <w:szCs w:val="24"/>
    </w:rPr>
  </w:style>
  <w:style w:type="paragraph" w:styleId="Style20">
    <w:name w:val="Заголовок"/>
    <w:basedOn w:val="Normal"/>
    <w:next w:val="Style21"/>
    <w:qFormat/>
    <w:pPr>
      <w:keepNext w:val="true"/>
      <w:spacing w:before="240" w:after="120"/>
    </w:pPr>
    <w:rPr>
      <w:rFonts w:ascii="Liberation Sans" w:hAnsi="Liberation Sans" w:eastAsia="Noto Sans CJK SC" w:cs="Noto Sans Devanagari"/>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Noto Sans Devanagari"/>
    </w:rPr>
  </w:style>
  <w:style w:type="paragraph" w:styleId="Style23">
    <w:name w:val="Caption"/>
    <w:basedOn w:val="Normal"/>
    <w:qFormat/>
    <w:pPr>
      <w:suppressLineNumbers/>
      <w:spacing w:before="120" w:after="120"/>
    </w:pPr>
    <w:rPr>
      <w:rFonts w:cs="Noto Sans Devanagari"/>
      <w:i/>
      <w:iCs/>
      <w:sz w:val="24"/>
      <w:szCs w:val="24"/>
    </w:rPr>
  </w:style>
  <w:style w:type="paragraph" w:styleId="Style24">
    <w:name w:val="Указатель"/>
    <w:basedOn w:val="Normal"/>
    <w:qFormat/>
    <w:pPr>
      <w:suppressLineNumbers/>
    </w:pPr>
    <w:rPr>
      <w:rFonts w:cs="Noto Sans Devanagari"/>
    </w:rPr>
  </w:style>
  <w:style w:type="paragraph" w:styleId="ListParagraph">
    <w:name w:val="List Paragraph"/>
    <w:basedOn w:val="Normal"/>
    <w:uiPriority w:val="34"/>
    <w:qFormat/>
    <w:rsid w:val="002c4c73"/>
    <w:pPr>
      <w:spacing w:before="0" w:after="200"/>
      <w:ind w:left="720" w:hanging="0"/>
      <w:contextualSpacing/>
    </w:pPr>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 w:type="paragraph" w:styleId="Style27">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numbering" w:styleId="WW8Num56">
    <w:name w:val="WW8Num56"/>
    <w:qFormat/>
  </w:style>
  <w:style w:type="numbering" w:styleId="WW8Num23">
    <w:name w:val="WW8Num23"/>
    <w:qFormat/>
  </w:style>
  <w:style w:type="numbering" w:styleId="WW8Num30">
    <w:name w:val="WW8Num30"/>
    <w:qFormat/>
  </w:style>
  <w:style w:type="numbering" w:styleId="WW8Num26">
    <w:name w:val="WW8Num26"/>
    <w:qFormat/>
  </w:style>
  <w:style w:type="numbering" w:styleId="WW8Num36">
    <w:name w:val="WW8Num36"/>
    <w:qFormat/>
  </w:style>
  <w:style w:type="numbering" w:styleId="WW8Num14">
    <w:name w:val="WW8Num14"/>
    <w:qFormat/>
  </w:style>
  <w:style w:type="numbering" w:styleId="WW8Num61">
    <w:name w:val="WW8Num61"/>
    <w:qFormat/>
  </w:style>
  <w:style w:type="numbering" w:styleId="WW8Num77">
    <w:name w:val="WW8Num77"/>
    <w:qFormat/>
  </w:style>
  <w:style w:type="numbering" w:styleId="WW8Num42">
    <w:name w:val="WW8Num42"/>
    <w:qFormat/>
  </w:style>
  <w:style w:type="numbering" w:styleId="WW8Num41">
    <w:name w:val="WW8Num41"/>
    <w:qFormat/>
  </w:style>
  <w:style w:type="numbering" w:styleId="WW8Num10">
    <w:name w:val="WW8Num10"/>
    <w:qFormat/>
  </w:style>
  <w:style w:type="numbering" w:styleId="WW8Num32">
    <w:name w:val="WW8Num32"/>
    <w:qFormat/>
  </w:style>
  <w:style w:type="numbering" w:styleId="WW8Num51">
    <w:name w:val="WW8Num51"/>
    <w:qFormat/>
  </w:style>
  <w:style w:type="numbering" w:styleId="WW8Num40">
    <w:name w:val="WW8Num40"/>
    <w:qFormat/>
  </w:style>
  <w:style w:type="numbering" w:styleId="WW8Num72">
    <w:name w:val="WW8Num72"/>
    <w:qFormat/>
  </w:style>
  <w:style w:type="numbering" w:styleId="WW8Num78">
    <w:name w:val="WW8Num78"/>
    <w:qFormat/>
  </w:style>
  <w:style w:type="numbering" w:styleId="WW8Num18">
    <w:name w:val="WW8Num18"/>
    <w:qFormat/>
  </w:style>
  <w:style w:type="numbering" w:styleId="WW8Num55">
    <w:name w:val="WW8Num55"/>
    <w:qFormat/>
  </w:style>
  <w:style w:type="numbering" w:styleId="WW8Num67">
    <w:name w:val="WW8Num67"/>
    <w:qFormat/>
  </w:style>
  <w:style w:type="numbering" w:styleId="WW8Num4">
    <w:name w:val="WW8Num4"/>
    <w:qFormat/>
  </w:style>
  <w:style w:type="numbering" w:styleId="WW8Num25">
    <w:name w:val="WW8Num25"/>
    <w:qFormat/>
  </w:style>
  <w:style w:type="numbering" w:styleId="WW8Num53">
    <w:name w:val="WW8Num53"/>
    <w:qFormat/>
  </w:style>
  <w:style w:type="numbering" w:styleId="WW8Num29">
    <w:name w:val="WW8Num29"/>
    <w:qFormat/>
  </w:style>
  <w:style w:type="numbering" w:styleId="WW8Num34">
    <w:name w:val="WW8Num34"/>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Application>LibreOffice/6.4.6.2$Linux_X86_64 LibreOffice_project/40$Build-2</Application>
  <Pages>4</Pages>
  <Words>879</Words>
  <Characters>6151</Characters>
  <CharactersWithSpaces>7022</CharactersWithSpaces>
  <Paragraphs>29</Paragraphs>
  <Company>ООО "Издательство Учитель"</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2019-02-04T07:04:00Z</dcterms:created>
  <dc:creator>Бобрышева Инна</dc:creator>
  <dc:description/>
  <dc:language>ru-RU</dc:language>
  <cp:lastModifiedBy/>
  <cp:lastPrinted>2019-02-04T07:01:00Z</cp:lastPrinted>
  <dcterms:modified xsi:type="dcterms:W3CDTF">2020-10-13T20:31:07Z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ООО "Издательство Учитель"</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