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9"/>
        <w:jc w:val="center"/>
        <w:rPr/>
      </w:pPr>
      <w:r>
        <w:rPr>
          <w:b/>
          <w:sz w:val="24"/>
          <w:szCs w:val="24"/>
        </w:rPr>
        <w:t>СЕМИНАРЫ (ПРАКТИЧЕСКИЕ ЗАНЯТИЯ)</w:t>
      </w:r>
    </w:p>
    <w:p>
      <w:pPr>
        <w:pStyle w:val="Normal"/>
        <w:ind w:firstLine="709"/>
        <w:jc w:val="both"/>
        <w:rPr/>
      </w:pPr>
      <w:r>
        <w:rPr>
          <w:b/>
          <w:sz w:val="24"/>
          <w:szCs w:val="24"/>
        </w:rPr>
        <w:t>Тема 1. Введение в учебный курс «Психология развития (возрастная психология)»</w:t>
      </w:r>
      <w:r>
        <w:rPr>
          <w:sz w:val="24"/>
          <w:szCs w:val="24"/>
        </w:rPr>
        <w:t xml:space="preserve"> (аудиторная работа – 2 часа).</w:t>
      </w:r>
    </w:p>
    <w:p>
      <w:pPr>
        <w:pStyle w:val="Normal"/>
        <w:ind w:firstLine="709"/>
        <w:jc w:val="both"/>
        <w:rPr>
          <w:b/>
          <w:b/>
          <w:i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Вопросы для обсуждения на семинаре:</w:t>
      </w:r>
    </w:p>
    <w:p>
      <w:pPr>
        <w:pStyle w:val="Normal"/>
        <w:numPr>
          <w:ilvl w:val="0"/>
          <w:numId w:val="1"/>
        </w:numPr>
        <w:spacing w:lineRule="auto" w:line="24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Может ли человек не развиваться? </w:t>
      </w:r>
    </w:p>
    <w:p>
      <w:pPr>
        <w:pStyle w:val="Normal"/>
        <w:numPr>
          <w:ilvl w:val="0"/>
          <w:numId w:val="1"/>
        </w:numPr>
        <w:spacing w:lineRule="auto" w:line="24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Какова природа изменений в процессе развития? Что понимается под условиями, факторами развития?</w:t>
      </w:r>
    </w:p>
    <w:p>
      <w:pPr>
        <w:pStyle w:val="Normal"/>
        <w:numPr>
          <w:ilvl w:val="0"/>
          <w:numId w:val="1"/>
        </w:numPr>
        <w:spacing w:lineRule="auto" w:line="24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Каковы цели развития?</w:t>
      </w:r>
    </w:p>
    <w:p>
      <w:pPr>
        <w:pStyle w:val="Normal"/>
        <w:ind w:firstLine="709"/>
        <w:jc w:val="both"/>
        <w:rPr>
          <w:b/>
          <w:b/>
          <w:sz w:val="24"/>
          <w:szCs w:val="24"/>
        </w:rPr>
      </w:pPr>
      <w:r>
        <w:rPr>
          <w:b/>
          <w:i/>
          <w:iCs/>
          <w:sz w:val="24"/>
          <w:szCs w:val="24"/>
        </w:rPr>
        <w:t>Ключевые слова</w:t>
      </w:r>
      <w:r>
        <w:rPr>
          <w:b/>
          <w:sz w:val="24"/>
          <w:szCs w:val="24"/>
        </w:rPr>
        <w:t>:</w:t>
      </w:r>
    </w:p>
    <w:p>
      <w:pPr>
        <w:pStyle w:val="Normal"/>
        <w:ind w:firstLine="709"/>
        <w:jc w:val="both"/>
        <w:rPr>
          <w:i/>
          <w:i/>
          <w:iCs/>
        </w:rPr>
      </w:pPr>
      <w:r>
        <w:rPr>
          <w:i/>
          <w:iCs/>
          <w:sz w:val="24"/>
          <w:szCs w:val="24"/>
        </w:rPr>
        <w:t xml:space="preserve">Имплицитная теория развития, модель развития; развитие, условия развития, поисковая активность, факторы развития, наследуемое, приобретенное, созревание, научение. </w:t>
      </w:r>
    </w:p>
    <w:p>
      <w:pPr>
        <w:pStyle w:val="Normal"/>
        <w:ind w:firstLine="709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09"/>
        <w:jc w:val="both"/>
        <w:rPr/>
      </w:pPr>
      <w:r>
        <w:rPr>
          <w:b/>
          <w:sz w:val="24"/>
          <w:szCs w:val="24"/>
        </w:rPr>
        <w:t>Подготовка к семинару предполагает…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Подготовка к семинару предполагает выполнение обучающимся ряда действий, направленных, прежде всего, на проработку информационного ресурса. К чему предстоит подготовиться студенту, начинающему освоение курса семинарских занятий?</w:t>
      </w:r>
    </w:p>
    <w:p>
      <w:pPr>
        <w:pStyle w:val="Normal"/>
        <w:ind w:firstLine="709"/>
        <w:jc w:val="both"/>
        <w:rPr/>
      </w:pPr>
      <w:r>
        <w:rPr>
          <w:sz w:val="24"/>
          <w:szCs w:val="24"/>
        </w:rPr>
        <w:t>Психология развития (возрастная психология) изучает развитие человека в течение всей жизни, уделяя особое внимание сравнению закономерностей этого процесса в разные периоды онтогенеза. К началу семинарских занятий у студента уже имеются представления  о том, что такое развитие, чем оно определяется и каковы его особенности на том или ином этапе. Первое семинарское занятие посвящено выявлению и анализу этих представлений – тому, что психологи называют имплицитной или личной теорией развития. С этой целью на семинаре предполагается организация групповой работы, схема которой приведена в Приложении. Продуктивность семинара определяется индивидуальными «вкладами» – предварительной индивидуальной проработкой задания для индивидуальной работы.</w:t>
      </w:r>
    </w:p>
    <w:p>
      <w:pPr>
        <w:pStyle w:val="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Результаты индивидуальной самостоятельной работы по подготовке к семинару должны быть представлены в письменном виде.</w:t>
      </w:r>
    </w:p>
    <w:p>
      <w:pPr>
        <w:pStyle w:val="Normal"/>
        <w:tabs>
          <w:tab w:val="clear" w:pos="708"/>
          <w:tab w:val="left" w:pos="180" w:leader="none"/>
        </w:tabs>
        <w:spacing w:lineRule="exact" w:line="28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</w:tabs>
        <w:ind w:firstLine="709"/>
        <w:rPr/>
      </w:pPr>
      <w:r>
        <w:rPr>
          <w:b/>
          <w:bCs/>
          <w:sz w:val="24"/>
          <w:szCs w:val="24"/>
        </w:rPr>
        <w:t>Задания для подготовки к семинару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bCs/>
          <w:sz w:val="24"/>
          <w:szCs w:val="24"/>
        </w:rPr>
        <w:t>С наибольшей отчетливостью проблема развития обнаруживает себя в тех вариантах, когда биологический ресурс человека оказывается нарушенным в той или иной степени. В научном контексте подобные варианты развития человека обозначаются как задержанное, отклоняющееся, поврежденное, недоразвитие и др. Особый случай в ряду указанных нарушений – развитие в условиях сенсорной депривации по типу слепоглухоты, когда «выпавшими» оказываются одновременно два наиважнейших дистантных анализатора. Не менее сложной, исключительной оказывается жизнь ребенка, лишенного на ранних этапах возможности взаимодействия с себе подобными</w:t>
      </w:r>
      <w:r>
        <w:rPr>
          <w:rStyle w:val="Style15"/>
          <w:rStyle w:val="Style16"/>
          <w:bCs/>
          <w:sz w:val="24"/>
          <w:szCs w:val="24"/>
        </w:rPr>
        <w:footnoteReference w:id="2"/>
      </w:r>
      <w:r>
        <w:rPr>
          <w:bCs/>
          <w:sz w:val="24"/>
          <w:szCs w:val="24"/>
        </w:rPr>
        <w:t xml:space="preserve">.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180" w:leader="none"/>
        </w:tabs>
        <w:ind w:left="0" w:firstLine="709"/>
        <w:jc w:val="both"/>
        <w:rPr/>
      </w:pPr>
      <w:r>
        <w:rPr>
          <w:bCs/>
          <w:sz w:val="24"/>
          <w:szCs w:val="24"/>
        </w:rPr>
        <w:t xml:space="preserve">Ознакомьтесь с текстами для индивидуальной работы, включенными в Приложение. В двух первых – описание возможностей психического развития слепоглухих детей. Третий – об истории развития человеческих существ в особых обстоятельствах, вне культуры. Эти тексты станут содержательной основой групповой работы на семинаре.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180" w:leader="none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Сформулируйте собственную позицию, подготовьте </w:t>
      </w:r>
      <w:r>
        <w:rPr>
          <w:b/>
          <w:bCs/>
          <w:sz w:val="24"/>
          <w:szCs w:val="24"/>
        </w:rPr>
        <w:t>эссе</w:t>
      </w:r>
      <w:r>
        <w:rPr>
          <w:bCs/>
          <w:sz w:val="24"/>
          <w:szCs w:val="24"/>
        </w:rPr>
        <w:t xml:space="preserve"> на тему </w:t>
      </w:r>
      <w:r>
        <w:rPr>
          <w:b/>
          <w:bCs/>
          <w:sz w:val="24"/>
          <w:szCs w:val="24"/>
        </w:rPr>
        <w:t>«Человек – существо развивающееся»</w:t>
      </w:r>
      <w:r>
        <w:rPr>
          <w:bCs/>
          <w:sz w:val="24"/>
          <w:szCs w:val="24"/>
        </w:rPr>
        <w:t>, содержание которого Вы могли бы обсудить на семинаре. Этот текст – индивидуальный «вклад» в групповую работу.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180" w:leader="none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Обратитесь к результатам индивидуальной самостоятельной работы. Будет ли понятен составленный вами текст эссе другим участникам семинара? Нужно ли что-то дополнительно пояснять? Если необходимо, внесите коррективы в первоначальный вариант.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Литература</w:t>
      </w:r>
    </w:p>
    <w:p>
      <w:pPr>
        <w:pStyle w:val="Normal"/>
        <w:jc w:val="center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Основная:</w:t>
      </w:r>
    </w:p>
    <w:p>
      <w:pPr>
        <w:pStyle w:val="Normal"/>
        <w:ind w:hanging="0"/>
        <w:jc w:val="both"/>
        <w:rPr>
          <w:rFonts w:ascii="Calibri" w:hAnsi="Calibri" w:eastAsia="Calibri" w:cs="" w:asciiTheme="minorHAnsi" w:cstheme="minorBidi" w:eastAsiaTheme="minorHAnsi" w:hAnsiTheme="minorHAnsi"/>
          <w:bCs/>
          <w:i w:val="false"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 xml:space="preserve">1. </w:t>
      </w: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Кулагина И.Ю. Психология развития и возрастная психология. Полный жизненный цикл развития человека [Электронный ресурс]: учебное пособие для вузов/ Кулагина И.Ю., Колюцкий В.Н.— Электрон.текстовые данные.— М.: Академический проект, 2015.— 421 c.— Режим доступа: http://www.iprbookshop.ru/36766.— ЭБС «IPRbooks».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0" w:leader="none"/>
        </w:tabs>
        <w:ind w:left="720" w:hanging="0"/>
        <w:jc w:val="both"/>
        <w:rPr>
          <w:rFonts w:ascii="Calibri" w:hAnsi="Calibri" w:eastAsia="Calibri" w:cs="" w:asciiTheme="minorHAnsi" w:cstheme="minorBidi" w:eastAsiaTheme="minorHAnsi" w:hAnsiTheme="minorHAnsi"/>
          <w:bCs/>
          <w:i w:val="false"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 xml:space="preserve">2. </w:t>
      </w: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Дети и подростки: психология развития/ Д.Шэффер. – СПб.: Питер, 2003. – С. 16-21; 67-70.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0" w:leader="none"/>
        </w:tabs>
        <w:ind w:left="720" w:hanging="0"/>
        <w:jc w:val="both"/>
        <w:rPr>
          <w:rFonts w:ascii="Calibri" w:hAnsi="Calibri" w:eastAsia="Calibri" w:cs="" w:asciiTheme="minorHAnsi" w:cstheme="minorBidi" w:eastAsiaTheme="minorHAnsi" w:hAnsiTheme="minorHAnsi"/>
          <w:bCs/>
          <w:i w:val="false"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3.</w:t>
      </w: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Психология развития: Учеб. для студ. высш. психол. учеб. заведений /Т.Д. Марцинковская, Т.М. Марютина, Т.Г. Стефаненко и др.; Под ред. Т.Д. Марцинковской. – 2-е изд., перераб. И доп. – М.: Издательский центр «Академия», 2005.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0" w:leader="none"/>
        </w:tabs>
        <w:ind w:left="720" w:hanging="0"/>
        <w:jc w:val="both"/>
        <w:rPr>
          <w:rFonts w:ascii="Calibri" w:hAnsi="Calibri" w:eastAsia="Calibri" w:cs="" w:asciiTheme="minorHAnsi" w:cstheme="minorBidi" w:eastAsiaTheme="minorHAnsi" w:hAnsiTheme="minorHAnsi"/>
          <w:bCs/>
          <w:i w:val="false"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4.</w:t>
      </w: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Развитие ребенка/ Х. Би. – 9-е изд. – СПб.: Питер, 2004. – С.22-47.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0" w:leader="none"/>
        </w:tabs>
        <w:ind w:left="720" w:hanging="0"/>
        <w:jc w:val="both"/>
        <w:rPr>
          <w:rFonts w:ascii="Calibri" w:hAnsi="Calibri" w:eastAsia="Calibri" w:cs="" w:asciiTheme="minorHAnsi" w:cstheme="minorBidi" w:eastAsiaTheme="minorHAnsi" w:hAnsiTheme="minorHAnsi"/>
          <w:bCs/>
          <w:i w:val="false"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 xml:space="preserve">5. </w:t>
      </w: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Ротенберг В.С., Бондаренко С.М. Мозг. Обучение. Здоровье: Кн. для учителя. – М.: Просвещение, 1989. – С. 12-40.</w:t>
      </w:r>
    </w:p>
    <w:p>
      <w:pPr>
        <w:pStyle w:val="Normal"/>
        <w:jc w:val="center"/>
        <w:rPr>
          <w:rFonts w:ascii="Calibri" w:hAnsi="Calibri" w:eastAsia="Calibri" w:cs="" w:asciiTheme="minorHAnsi" w:cstheme="minorBidi" w:eastAsiaTheme="minorHAnsi" w:hAnsiTheme="minorHAnsi"/>
          <w:bCs/>
          <w:i w:val="false"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Дополнительная: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360" w:leader="none"/>
        </w:tabs>
        <w:ind w:left="360" w:hanging="360"/>
        <w:jc w:val="both"/>
        <w:rPr>
          <w:rFonts w:ascii="Calibri" w:hAnsi="Calibri" w:eastAsia="Calibri" w:cs="" w:asciiTheme="minorHAnsi" w:cstheme="minorBidi" w:eastAsiaTheme="minorHAnsi" w:hAnsiTheme="minorHAnsi"/>
          <w:bCs/>
          <w:i w:val="false"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Апраушев А.В. Тифлосурдопедагогика: Воспитание, обучение, трудовая и социальная реабилитация слепоглухонемых. Учеб. пособие для студентов дефектол. Фак. Пед. ин-тов. – М.: Просвещение, 1983.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360" w:leader="none"/>
        </w:tabs>
        <w:ind w:left="360" w:hanging="360"/>
        <w:jc w:val="both"/>
        <w:rPr>
          <w:rFonts w:ascii="Calibri" w:hAnsi="Calibri" w:eastAsia="Calibri" w:cs="" w:asciiTheme="minorHAnsi" w:cstheme="minorBidi" w:eastAsiaTheme="minorHAnsi" w:hAnsiTheme="minorHAnsi"/>
          <w:bCs/>
          <w:i w:val="false"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</w:pPr>
      <w:r>
        <w:rPr>
          <w:rFonts w:eastAsia="Calibri" w:cs="" w:cstheme="minorBidi" w:eastAsiaTheme="minorHAnsi"/>
          <w:bCs/>
          <w:i w:val="false"/>
          <w:iCs w:val="false"/>
          <w:color w:val="auto"/>
          <w:kern w:val="0"/>
          <w:sz w:val="24"/>
          <w:szCs w:val="24"/>
          <w:lang w:val="ru-RU" w:eastAsia="en-US" w:bidi="ar-SA"/>
        </w:rPr>
        <w:t>Зеньковский В.В. Психология детства. – Екатеринбург: «Деловая книга», 1995.</w:t>
      </w:r>
    </w:p>
    <w:p>
      <w:pPr>
        <w:pStyle w:val="Normal"/>
        <w:tabs>
          <w:tab w:val="clear" w:pos="708"/>
          <w:tab w:val="left" w:pos="180" w:leader="none"/>
        </w:tabs>
        <w:spacing w:lineRule="exact" w:line="280"/>
        <w:jc w:val="both"/>
        <w:rPr>
          <w:rFonts w:ascii="Times New Roman" w:hAnsi="Times New Roman" w:eastAsia="Calibri" w:cs="Times New Roman" w:eastAsiaTheme="minorHAnsi"/>
          <w:bCs/>
          <w:i w:val="false"/>
          <w:i w:val="false"/>
          <w:iCs w:val="false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Calibri" w:cs="Times New Roman" w:eastAsiaTheme="minorHAnsi" w:ascii="Times New Roman" w:hAnsi="Times New Roman"/>
          <w:bCs/>
          <w:i w:val="false"/>
          <w:iCs w:val="false"/>
          <w:color w:val="auto"/>
          <w:kern w:val="0"/>
          <w:sz w:val="28"/>
          <w:szCs w:val="28"/>
          <w:lang w:val="ru-RU" w:eastAsia="ru-RU" w:bidi="ar-SA"/>
        </w:rPr>
      </w:r>
    </w:p>
    <w:p>
      <w:pPr>
        <w:pStyle w:val="Normal"/>
        <w:tabs>
          <w:tab w:val="clear" w:pos="708"/>
          <w:tab w:val="left" w:pos="180" w:leader="none"/>
        </w:tabs>
        <w:spacing w:lineRule="exact" w:line="280"/>
        <w:jc w:val="right"/>
        <w:rPr/>
      </w:pPr>
      <w:r>
        <w:rPr>
          <w:b/>
          <w:bCs/>
          <w:sz w:val="24"/>
          <w:szCs w:val="24"/>
        </w:rPr>
        <w:t>Приложение к теме 1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b/>
          <w:bCs/>
          <w:sz w:val="24"/>
          <w:szCs w:val="24"/>
          <w:lang w:val="en-US"/>
        </w:rPr>
        <w:t>I</w:t>
      </w:r>
      <w:r>
        <w:rPr>
          <w:b/>
          <w:bCs/>
          <w:sz w:val="24"/>
          <w:szCs w:val="24"/>
        </w:rPr>
        <w:t xml:space="preserve">. Схема работы для организации семинарского занятия 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sz w:val="24"/>
          <w:szCs w:val="24"/>
        </w:rPr>
        <w:t>Групповая работа включает в себя три этапа.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i/>
          <w:sz w:val="24"/>
          <w:szCs w:val="24"/>
        </w:rPr>
        <w:t>Этап индивидуальной работы</w:t>
      </w:r>
      <w:r>
        <w:rPr>
          <w:sz w:val="24"/>
          <w:szCs w:val="24"/>
        </w:rPr>
        <w:t xml:space="preserve"> – обучающимся предлагается выполнить определенное задание: написать эссе, составить ответы на вопросы заданий для аудиторной работы и др. Предполагается, что индивидуальную работу студенты могут выполнять до семинара – в процессе подготовки к нему. 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i/>
          <w:sz w:val="24"/>
          <w:szCs w:val="24"/>
        </w:rPr>
        <w:t>Этап работы в мини-группах</w:t>
      </w:r>
      <w:r>
        <w:rPr>
          <w:sz w:val="24"/>
          <w:szCs w:val="24"/>
        </w:rPr>
        <w:t>. Сначала студентам предлагается познакомиться с результатами индивидуальной работы своего сокурсника. (В случае, если в мини-группе работает более 2-х человек, – с индивидуальными результатами сокурсников.) Цель первичного знакомства – определение основных идей (положений) сообщения сокурсника, степени их совпадения с содержанием собственной работы, а также – выявление положений, по которым позиции авторов работ не совпадают. После этого результаты первичного анализа обсуждаются, и затем представляется текст, фиксирующий итоговый продукт теперь уже групповой работы. Он включает в себя выявленные «точки согласия» авторов и проблемные области – то, в чем мнения студентов не совпадают. Текст-резюме по итогам групповой работы – основа для участия в общегрупповой дискуссии.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i/>
          <w:sz w:val="24"/>
          <w:szCs w:val="24"/>
        </w:rPr>
        <w:t xml:space="preserve">Общегрупповая дискуссия </w:t>
      </w:r>
      <w:r>
        <w:rPr>
          <w:sz w:val="24"/>
          <w:szCs w:val="24"/>
        </w:rPr>
        <w:t>– завершающий этап групповой работы. Схема  действий обучающихся на данном этапе повторяет ту, которая была описана выше. Ведущий семинара фиксирует результаты работы мини-групп, предоставляя возможность каждой из них прокомментировать сформулированную позицию и внести изменения (если в процессе презентации продукта групповой работы в таковых возникает необходимость).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sz w:val="24"/>
          <w:szCs w:val="24"/>
        </w:rPr>
        <w:t>Итог обсуждения – общегрупповые «точки согласия» по обсуждаемой проблеме. Форма представления, фиксации общегруппового продукта обсуждения может быть различной. Главное требование – «прозрачность», ясность в прочтении всеми участниками групповой работы. В процессе обсуждения дискутируемых вопросов выявляются проблемные области – вопросы (положения), по поводу которых группа не может прийти к согласию в текущий момент. Указанные положения также фиксируются и затем определяются возможности группы в продолжении работы по пониманию обозначенных аспектов.</w:t>
      </w:r>
      <w:r>
        <w:rPr>
          <w:b/>
          <w:i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180" w:leader="none"/>
        </w:tabs>
        <w:spacing w:lineRule="exact" w:line="280"/>
        <w:jc w:val="righ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/>
      </w:pPr>
      <w:r>
        <w:rPr>
          <w:b/>
          <w:sz w:val="24"/>
          <w:szCs w:val="24"/>
          <w:lang w:val="en-US"/>
        </w:rPr>
        <w:t>II</w:t>
      </w:r>
      <w:r>
        <w:rPr>
          <w:b/>
          <w:sz w:val="24"/>
          <w:szCs w:val="24"/>
        </w:rPr>
        <w:t>. Фрагменты текстов для индивидуальной работы.</w:t>
      </w:r>
    </w:p>
    <w:p>
      <w:pPr>
        <w:pStyle w:val="Normal"/>
        <w:ind w:firstLine="709"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Составлено по материалам кн. Апраушева А.В. Тифлосурдопедагогика: Воспитание, обучение, трудовая и социальная реабилитация слепоглухонемых. Учеб. пособие для студентов дефектол. фак. пед. ин-тов. – М.: Просвещение, 1983. 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b/>
          <w:bCs/>
          <w:i/>
          <w:sz w:val="24"/>
          <w:szCs w:val="24"/>
        </w:rPr>
        <w:t>Фрагмент 1.</w:t>
      </w:r>
      <w:r>
        <w:rPr>
          <w:bCs/>
          <w:sz w:val="24"/>
          <w:szCs w:val="24"/>
        </w:rPr>
        <w:t xml:space="preserve"> Слепоглухонемота существует столько же, сколько существует человечество. Родившиеся слепоглухими или потерявшие слух в течение первых лет, на начальных этапах онтогенеза не похожи на человеческих детей: они не проявляют стремления к целенаправленным действиям, не принимают человеческих поз, не умеют ходить и пользоваться предметами обихода. Помимо этого, дети не проявляют интереса к пище: если ребенку вложить в руку хлеб или мясо, он не тянет их в рот, чаще наблюдается противоположное – сопротивление кормлению.  Этот этап ученые называют доконтактным, он характеризуется отсутствием сознательного контакта с окружающей средой и людьми. С доконтактным периодом связаны эпитеты, которыми награждали в прошлом слепоглухонемых детей: «живые комочки», «инертные массы», «подвижные растения», «яростные животные». Подобные эпитеты получают дети, не имеющие органических поражений мозга</w:t>
      </w:r>
      <w:r>
        <w:rPr>
          <w:rStyle w:val="Style15"/>
          <w:rStyle w:val="Style16"/>
          <w:bCs/>
          <w:sz w:val="24"/>
          <w:szCs w:val="24"/>
        </w:rPr>
        <w:footnoteReference w:id="3"/>
      </w:r>
      <w:r>
        <w:rPr>
          <w:bCs/>
          <w:sz w:val="24"/>
          <w:szCs w:val="24"/>
        </w:rPr>
        <w:t>. Попадая в детский дом</w:t>
      </w:r>
      <w:r>
        <w:rPr>
          <w:rStyle w:val="Style15"/>
          <w:rStyle w:val="Style16"/>
          <w:bCs/>
          <w:sz w:val="24"/>
          <w:szCs w:val="24"/>
        </w:rPr>
        <w:footnoteReference w:id="4"/>
      </w:r>
      <w:r>
        <w:rPr>
          <w:bCs/>
          <w:sz w:val="24"/>
          <w:szCs w:val="24"/>
        </w:rPr>
        <w:t xml:space="preserve">, слепоглухонемые дети обычно сидят в своих постелях, совершая маятникообразные навязчивые движения. 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b/>
          <w:bCs/>
          <w:i/>
          <w:sz w:val="24"/>
          <w:szCs w:val="24"/>
        </w:rPr>
        <w:t>Фрагмент 2.</w:t>
      </w:r>
      <w:r>
        <w:rPr>
          <w:bCs/>
          <w:sz w:val="24"/>
          <w:szCs w:val="24"/>
        </w:rPr>
        <w:t xml:space="preserve"> Воспитанник Загорского детского дома Фаниль С., ослепший и оглохший после менингита в возрасте одного года десяти месяцев, поступил в детский дом с вполне сформированной человеческой психикой и трудовыми навыками. До детского дома Фаниль находился в семье. Отец Фаниля никогда не отстранял ребенка, когда тот ощупывал его руки, занятые хозяйством, специально отвел мальчику место в мастерской, в которой Фаниль занимался столярными и слесарными поделками, различным ремонтом.</w:t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180" w:leader="none"/>
        </w:tabs>
        <w:ind w:firstLine="709"/>
        <w:jc w:val="both"/>
        <w:rPr/>
      </w:pPr>
      <w:r>
        <w:rPr>
          <w:b/>
          <w:bCs/>
          <w:i/>
          <w:sz w:val="24"/>
          <w:szCs w:val="24"/>
        </w:rPr>
        <w:t>Фрагмент 3</w:t>
      </w:r>
      <w:r>
        <w:rPr>
          <w:b/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В научной литературе получила широкую известность история двух девочек, найденных в Восточной Индии, которые, попав в волчью стаю, переняли у зверей их повадки и в поведении уподобились волкам. </w:t>
      </w:r>
    </w:p>
    <w:p>
      <w:pPr>
        <w:pStyle w:val="Normal"/>
        <w:tabs>
          <w:tab w:val="clear" w:pos="708"/>
          <w:tab w:val="left" w:pos="180" w:leader="none"/>
        </w:tabs>
        <w:spacing w:before="0" w:after="200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тот момент, когда их нашли, одной из них было около трех лет, другой – пять-шесть. Девочек обнаружил в Восточной Индии священник Сингх. Им дали имена – Амала и Камала, и поместили в сиротский приют города Миндапура. Оказавшись среди людей,  девочки продолжали вести себя по-звериному: они разрывали одежду, которую пытались на них надеть, очень быстро передвигались на четвереньках, отчего на коленях и на ладонях у них были жесткие мозоли. Питались девочки только сырым мясом, молоком и водой. Вареную пищу есть отказывались. Днем девочки дремали, а ночью пребывали в непрерывном движении и иногда выли. Сотрудниками приюта описан случай, когда одна из девочек, оказавшись среди дворовых собак, бесстрашно включилась в их трапезу и даже отобрала у них кость. В этот момент в ее поведении проявлялись повадки, свойственные волкам. </w:t>
      </w:r>
      <w:r>
        <w:rPr>
          <w:rFonts w:eastAsia="Calibri" w:cs="" w:cstheme="minorBidi" w:eastAsiaTheme="minorHAnsi"/>
          <w:b w:val="false"/>
          <w:bCs w:val="false"/>
          <w:color w:val="auto"/>
          <w:kern w:val="0"/>
          <w:sz w:val="24"/>
          <w:szCs w:val="24"/>
          <w:lang w:val="ru-RU" w:eastAsia="en-US" w:bidi="ar-SA"/>
        </w:rPr>
        <w:t xml:space="preserve">Всякие попытки завязать контакт с Амалой и Камалой встречали сопротивление с их стороны. При возможности уклониться от контактов девочки забивались в угол. Усиленное воспитание и обучение, порученное миссис Сингх, дало лишь незначительные результаты. Младшая из сестер, Амала, первой стала реагировать на названия различных продуктов. Однако прожила в приюте недолго – умерла в возрасте шести лет, так и не став человеком. О Камале известно, что к семнадцати годам она имела в запасе около шести десятков слов. </w:t>
      </w:r>
    </w:p>
    <w:sectPr>
      <w:footnotePr>
        <w:numFmt w:val="decimal"/>
      </w:footnote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26"/>
        <w:jc w:val="both"/>
        <w:rPr/>
      </w:pPr>
      <w:r>
        <w:rPr>
          <w:rStyle w:val="Style15"/>
        </w:rPr>
        <w:footnoteRef/>
      </w:r>
      <w:r>
        <w:rPr/>
        <w:tab/>
        <w:t xml:space="preserve"> </w:t>
      </w:r>
      <w:r>
        <w:rPr/>
        <w:t>Депривация.  Имеются в виду редкие, но известные случаи воспитания детей животными, например волками, последствия которых получили название «синдрома Маугли».</w:t>
      </w:r>
    </w:p>
    <w:p>
      <w:pPr>
        <w:pStyle w:val="Style26"/>
        <w:suppressLineNumbers/>
        <w:spacing w:before="0" w:after="200"/>
        <w:ind w:left="339" w:hanging="339"/>
        <w:rPr/>
      </w:pPr>
      <w:r>
        <w:rPr/>
      </w:r>
    </w:p>
  </w:footnote>
  <w:footnote w:id="3">
    <w:p>
      <w:pPr>
        <w:pStyle w:val="Style26"/>
        <w:spacing w:before="0" w:after="200"/>
        <w:jc w:val="both"/>
        <w:rPr/>
      </w:pPr>
      <w:r>
        <w:rPr>
          <w:rStyle w:val="Style15"/>
        </w:rPr>
        <w:footnoteRef/>
      </w:r>
      <w:r>
        <w:rPr>
          <w:sz w:val="22"/>
          <w:szCs w:val="22"/>
        </w:rPr>
        <w:tab/>
        <w:t xml:space="preserve"> </w:t>
      </w:r>
      <w:r>
        <w:rPr>
          <w:sz w:val="20"/>
          <w:szCs w:val="20"/>
        </w:rPr>
        <w:t xml:space="preserve">Органическое поражение может стать следствием нарушений развития плода во внутриутробном периоде, а также ряда воздействий на мозг ребенка – механического травмирования, нейроинфекции и др. Органическое поражение выражается в необратимых нарушениях в строении мозга и соответствующих изменениях в его функционировании. </w:t>
      </w:r>
    </w:p>
  </w:footnote>
  <w:footnote w:id="4">
    <w:p>
      <w:pPr>
        <w:pStyle w:val="Style26"/>
        <w:spacing w:before="0" w:after="200"/>
        <w:jc w:val="both"/>
        <w:rPr/>
      </w:pPr>
      <w:r>
        <w:rPr>
          <w:rStyle w:val="Style15"/>
        </w:rPr>
        <w:footnoteRef/>
      </w:r>
      <w:r>
        <w:rPr/>
        <w:tab/>
        <w:t xml:space="preserve"> </w:t>
      </w:r>
      <w:r>
        <w:rPr>
          <w:sz w:val="22"/>
          <w:szCs w:val="22"/>
        </w:rPr>
        <w:t>Р</w:t>
      </w:r>
      <w:r>
        <w:rPr>
          <w:bCs/>
          <w:sz w:val="20"/>
          <w:szCs w:val="20"/>
        </w:rPr>
        <w:t xml:space="preserve">ечь идет о Загорском – ныне Сергиево-Посадском – детском доме для слепоглухих детей. На базе детского дома работает школа, в которой осуществляется групповое обучение детей четырех различных категорий: тотально слепоглухонемых, практически слепоглухонемых, слабовидящих глухонемых и слабослышащих слепых. 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2">
    <w:lvl w:ilvl="0">
      <w:numFmt w:val="bullet"/>
      <w:lvlText w:val=""/>
      <w:lvlJc w:val="left"/>
      <w:pPr>
        <w:tabs>
          <w:tab w:val="num" w:pos="540"/>
        </w:tabs>
        <w:ind w:left="540" w:hanging="0"/>
      </w:pPr>
      <w:rPr>
        <w:rFonts w:ascii="Symbol" w:hAnsi="Symbol" w:cs="Symbol" w:hint="default"/>
        <w:sz w:val="24"/>
        <w:szCs w:val="24"/>
        <w:rFonts w:cs="Times New Roman CYR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c4c7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56z0">
    <w:name w:val="WW8Num56z0"/>
    <w:qFormat/>
    <w:rPr/>
  </w:style>
  <w:style w:type="character" w:styleId="WW8Num56z1">
    <w:name w:val="WW8Num56z1"/>
    <w:qFormat/>
    <w:rPr/>
  </w:style>
  <w:style w:type="character" w:styleId="WW8Num56z2">
    <w:name w:val="WW8Num56z2"/>
    <w:qFormat/>
    <w:rPr/>
  </w:style>
  <w:style w:type="character" w:styleId="WW8Num56z3">
    <w:name w:val="WW8Num56z3"/>
    <w:qFormat/>
    <w:rPr/>
  </w:style>
  <w:style w:type="character" w:styleId="WW8Num56z4">
    <w:name w:val="WW8Num56z4"/>
    <w:qFormat/>
    <w:rPr/>
  </w:style>
  <w:style w:type="character" w:styleId="WW8Num56z5">
    <w:name w:val="WW8Num56z5"/>
    <w:qFormat/>
    <w:rPr/>
  </w:style>
  <w:style w:type="character" w:styleId="WW8Num56z6">
    <w:name w:val="WW8Num56z6"/>
    <w:qFormat/>
    <w:rPr/>
  </w:style>
  <w:style w:type="character" w:styleId="WW8Num56z7">
    <w:name w:val="WW8Num56z7"/>
    <w:qFormat/>
    <w:rPr/>
  </w:style>
  <w:style w:type="character" w:styleId="WW8Num56z8">
    <w:name w:val="WW8Num56z8"/>
    <w:qFormat/>
    <w:rPr/>
  </w:style>
  <w:style w:type="character" w:styleId="Style14">
    <w:name w:val="Основной шрифт абзаца"/>
    <w:qFormat/>
    <w:rPr/>
  </w:style>
  <w:style w:type="character" w:styleId="Style15">
    <w:name w:val="Символ сноски"/>
    <w:basedOn w:val="Style14"/>
    <w:qFormat/>
    <w:rPr>
      <w:vertAlign w:val="superscript"/>
    </w:rPr>
  </w:style>
  <w:style w:type="character" w:styleId="WW8Num23z0">
    <w:name w:val="WW8Num23z0"/>
    <w:qFormat/>
    <w:rPr>
      <w:rFonts w:ascii="Symbol" w:hAnsi="Symbol" w:cs="Times New Roman CYR"/>
      <w:sz w:val="24"/>
      <w:szCs w:val="24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23z3">
    <w:name w:val="WW8Num23z3"/>
    <w:qFormat/>
    <w:rPr>
      <w:rFonts w:ascii="Symbol" w:hAnsi="Symbol" w:cs="Symbol"/>
    </w:rPr>
  </w:style>
  <w:style w:type="character" w:styleId="WW8Num30z0">
    <w:name w:val="WW8Num30z0"/>
    <w:qFormat/>
    <w:rPr>
      <w:sz w:val="24"/>
      <w:szCs w:val="24"/>
    </w:rPr>
  </w:style>
  <w:style w:type="character" w:styleId="WW8Num30z1">
    <w:name w:val="WW8Num30z1"/>
    <w:qFormat/>
    <w:rPr/>
  </w:style>
  <w:style w:type="character" w:styleId="WW8Num30z2">
    <w:name w:val="WW8Num30z2"/>
    <w:qFormat/>
    <w:rPr/>
  </w:style>
  <w:style w:type="character" w:styleId="WW8Num30z3">
    <w:name w:val="WW8Num30z3"/>
    <w:qFormat/>
    <w:rPr/>
  </w:style>
  <w:style w:type="character" w:styleId="WW8Num30z4">
    <w:name w:val="WW8Num30z4"/>
    <w:qFormat/>
    <w:rPr/>
  </w:style>
  <w:style w:type="character" w:styleId="WW8Num30z5">
    <w:name w:val="WW8Num30z5"/>
    <w:qFormat/>
    <w:rPr/>
  </w:style>
  <w:style w:type="character" w:styleId="WW8Num30z6">
    <w:name w:val="WW8Num30z6"/>
    <w:qFormat/>
    <w:rPr/>
  </w:style>
  <w:style w:type="character" w:styleId="WW8Num30z7">
    <w:name w:val="WW8Num30z7"/>
    <w:qFormat/>
    <w:rPr/>
  </w:style>
  <w:style w:type="character" w:styleId="WW8Num30z8">
    <w:name w:val="WW8Num30z8"/>
    <w:qFormat/>
    <w:rPr/>
  </w:style>
  <w:style w:type="character" w:styleId="WW8Num26z0">
    <w:name w:val="WW8Num26z0"/>
    <w:qFormat/>
    <w:rPr/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Style16">
    <w:name w:val="Привязка сноски"/>
    <w:rPr>
      <w:vertAlign w:val="superscript"/>
    </w:rPr>
  </w:style>
  <w:style w:type="character" w:styleId="Style17">
    <w:name w:val="Привязка концевой сноски"/>
    <w:rPr>
      <w:vertAlign w:val="superscript"/>
    </w:rPr>
  </w:style>
  <w:style w:type="character" w:styleId="Style18">
    <w:name w:val="Символ концевой с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34"/>
    <w:qFormat/>
    <w:rsid w:val="002c4c73"/>
    <w:pPr>
      <w:spacing w:before="0" w:after="200"/>
      <w:ind w:left="720" w:hanging="0"/>
      <w:contextualSpacing/>
    </w:pPr>
    <w:rPr/>
  </w:style>
  <w:style w:type="paragraph" w:styleId="Style24">
    <w:name w:val="Содержимое таблицы"/>
    <w:basedOn w:val="Normal"/>
    <w:qFormat/>
    <w:pPr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paragraph" w:styleId="Style26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56">
    <w:name w:val="WW8Num56"/>
    <w:qFormat/>
  </w:style>
  <w:style w:type="numbering" w:styleId="WW8Num23">
    <w:name w:val="WW8Num23"/>
    <w:qFormat/>
  </w:style>
  <w:style w:type="numbering" w:styleId="WW8Num30">
    <w:name w:val="WW8Num30"/>
    <w:qFormat/>
  </w:style>
  <w:style w:type="numbering" w:styleId="WW8Num26">
    <w:name w:val="WW8Num26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LibreOffice/6.3.5.2$Linux_X86_64 LibreOffice_project/30$Build-2</Application>
  <Pages>6</Pages>
  <Words>1322</Words>
  <Characters>9102</Characters>
  <CharactersWithSpaces>10432</CharactersWithSpaces>
  <Paragraphs>43</Paragraphs>
  <Company>ООО "Издательство Учитель"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2019-02-04T07:04:00Z</dcterms:created>
  <dc:creator>Бобрышева Инна</dc:creator>
  <dc:description/>
  <dc:language>ru-RU</dc:language>
  <cp:lastModifiedBy/>
  <cp:lastPrinted>2019-02-04T07:01:00Z</cp:lastPrinted>
  <dcterms:modified xsi:type="dcterms:W3CDTF">2020-09-06T08:31:13Z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ООО "Издательство Учитель"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