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46"/>
        <w:tblW w:w="0" w:type="auto"/>
        <w:tblLook w:val="04A0"/>
      </w:tblPr>
      <w:tblGrid>
        <w:gridCol w:w="594"/>
        <w:gridCol w:w="3207"/>
        <w:gridCol w:w="5770"/>
      </w:tblGrid>
      <w:tr w:rsidR="00187666" w:rsidTr="00187666">
        <w:tc>
          <w:tcPr>
            <w:tcW w:w="594" w:type="dxa"/>
          </w:tcPr>
          <w:p w:rsidR="000141BB" w:rsidRPr="000141BB" w:rsidRDefault="000141BB" w:rsidP="0018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7" w:type="dxa"/>
          </w:tcPr>
          <w:p w:rsidR="000141BB" w:rsidRPr="000141BB" w:rsidRDefault="000141BB" w:rsidP="0018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5770" w:type="dxa"/>
          </w:tcPr>
          <w:p w:rsidR="000141BB" w:rsidRPr="000141BB" w:rsidRDefault="000141BB" w:rsidP="0018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187666" w:rsidTr="00187666">
        <w:tc>
          <w:tcPr>
            <w:tcW w:w="594" w:type="dxa"/>
          </w:tcPr>
          <w:p w:rsidR="000141BB" w:rsidRPr="000141BB" w:rsidRDefault="000141BB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0141BB" w:rsidRPr="000141BB" w:rsidRDefault="000141BB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Донаучный период</w:t>
            </w:r>
          </w:p>
        </w:tc>
        <w:tc>
          <w:tcPr>
            <w:tcW w:w="5770" w:type="dxa"/>
          </w:tcPr>
          <w:p w:rsidR="00D449B5" w:rsidRDefault="00642C1E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9B5">
              <w:rPr>
                <w:rFonts w:ascii="Times New Roman" w:hAnsi="Times New Roman" w:cs="Times New Roman"/>
                <w:sz w:val="28"/>
                <w:szCs w:val="28"/>
              </w:rPr>
              <w:t>Появляются первые предпосылки того, из чего в последствии возникает наука, в том числе формы познавательной деятельности, осознание разделения умственной</w:t>
            </w:r>
            <w:proofErr w:type="gramStart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интеллектуальной деятельности, и производственно- трудовой.</w:t>
            </w:r>
          </w:p>
          <w:p w:rsidR="000141BB" w:rsidRPr="00D449B5" w:rsidRDefault="00D449B5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 Несмотря на интерес античных философов к проблемам жизнедеятельности людей с ОВЗ, из-за отсутствия аналитического подхода, рассмотрение проблем людей с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 оставалось </w:t>
            </w:r>
            <w:proofErr w:type="spellStart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>фрагментальным</w:t>
            </w:r>
            <w:proofErr w:type="spellEnd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>, носило созерцательный характер, а рассуждения о дефектах физического тела и о душевных болезнях тесно переплетались с общефилософскими воззрениями и размышлениями о сущности человеческой жизни вообще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666" w:rsidTr="00187666">
        <w:tc>
          <w:tcPr>
            <w:tcW w:w="594" w:type="dxa"/>
          </w:tcPr>
          <w:p w:rsidR="000141BB" w:rsidRPr="000141BB" w:rsidRDefault="000141BB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0141BB" w:rsidRPr="000141BB" w:rsidRDefault="000141BB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Классическая наука эпохи Возрождения</w:t>
            </w:r>
          </w:p>
        </w:tc>
        <w:tc>
          <w:tcPr>
            <w:tcW w:w="5770" w:type="dxa"/>
          </w:tcPr>
          <w:p w:rsidR="00D449B5" w:rsidRDefault="00D449B5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9B5">
              <w:rPr>
                <w:rFonts w:ascii="Times New Roman" w:hAnsi="Times New Roman" w:cs="Times New Roman"/>
                <w:sz w:val="28"/>
                <w:szCs w:val="28"/>
              </w:rPr>
              <w:t>Распространение материалистических воззрений XVI века положило начало развития частных наук и уходу от церкви.</w:t>
            </w:r>
          </w:p>
          <w:p w:rsidR="000141BB" w:rsidRPr="00D449B5" w:rsidRDefault="00D449B5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9B5">
              <w:rPr>
                <w:rFonts w:ascii="Times New Roman" w:hAnsi="Times New Roman" w:cs="Times New Roman"/>
                <w:sz w:val="28"/>
                <w:szCs w:val="28"/>
              </w:rPr>
              <w:t>В XVI веке появились теоретические рассуждения о возможности замещения одних анализаторов другими и обучения на этой основе человека с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В 18 веке В. </w:t>
            </w:r>
            <w:proofErr w:type="spellStart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>Молинекс</w:t>
            </w:r>
            <w:proofErr w:type="spellEnd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 говорит о том, что наличие предшествующего жизненного и сенсорного опыта для ребенка с ОВ играет важную роль в его дальнейшем развитии, в восприятии и понимании внешнего мира. Это послужило при построении первых педагогических моделей обучения (</w:t>
            </w:r>
            <w:proofErr w:type="spellStart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>Э.Сеген</w:t>
            </w:r>
            <w:proofErr w:type="spellEnd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 19 век). Это остается важным и в наше время.</w:t>
            </w:r>
          </w:p>
        </w:tc>
      </w:tr>
      <w:tr w:rsidR="00187666" w:rsidTr="00187666">
        <w:tc>
          <w:tcPr>
            <w:tcW w:w="594" w:type="dxa"/>
          </w:tcPr>
          <w:p w:rsidR="000141BB" w:rsidRPr="000141BB" w:rsidRDefault="000141BB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:rsidR="000141BB" w:rsidRPr="000141BB" w:rsidRDefault="000141BB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BB">
              <w:rPr>
                <w:rFonts w:ascii="Times New Roman" w:hAnsi="Times New Roman" w:cs="Times New Roman"/>
                <w:sz w:val="28"/>
                <w:szCs w:val="28"/>
              </w:rPr>
              <w:t>Классическая наука эпохи Просвещения</w:t>
            </w:r>
          </w:p>
        </w:tc>
        <w:tc>
          <w:tcPr>
            <w:tcW w:w="5770" w:type="dxa"/>
          </w:tcPr>
          <w:p w:rsidR="00D449B5" w:rsidRDefault="00D449B5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азвивалась сурдопедагогика. Тенденции обучению детей родному языку, хорошо влияли на становление сурдопедагогики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специальной педагогики</w:t>
            </w:r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 в целом. Происходившие в XVII-XIX веке социальные революции привели к заметным преобразованиям в обществе, что способствовало социальной </w:t>
            </w:r>
            <w:proofErr w:type="spellStart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</w:t>
            </w:r>
          </w:p>
          <w:p w:rsidR="000141BB" w:rsidRPr="00D449B5" w:rsidRDefault="00D449B5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Ян </w:t>
            </w:r>
            <w:proofErr w:type="spellStart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>Амос</w:t>
            </w:r>
            <w:proofErr w:type="spellEnd"/>
            <w:r w:rsidRPr="00D449B5">
              <w:rPr>
                <w:rFonts w:ascii="Times New Roman" w:hAnsi="Times New Roman" w:cs="Times New Roman"/>
                <w:sz w:val="28"/>
                <w:szCs w:val="28"/>
              </w:rPr>
              <w:t xml:space="preserve"> Коменский, один из первых представителей массовой педагогики, </w:t>
            </w:r>
            <w:r w:rsidRPr="00D44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высказывал мысль о возможности и социальной значимости обучения и воспитания детей с ОВ. Он впервые сформулировал сущность гуманистических позиций в отношении детей с ОВ. Развитие и оформление ряда частных наук способствовал дальнейшему упорядочиванию, развитию внутренней систематики – созданию собственных научных классификаций.</w:t>
            </w:r>
          </w:p>
        </w:tc>
      </w:tr>
      <w:tr w:rsidR="000141BB" w:rsidTr="00187666">
        <w:trPr>
          <w:trHeight w:val="2296"/>
        </w:trPr>
        <w:tc>
          <w:tcPr>
            <w:tcW w:w="594" w:type="dxa"/>
          </w:tcPr>
          <w:p w:rsidR="000141BB" w:rsidRPr="000141BB" w:rsidRDefault="00642C1E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07" w:type="dxa"/>
          </w:tcPr>
          <w:p w:rsidR="000141BB" w:rsidRPr="000141BB" w:rsidRDefault="00642C1E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Неклассическая наука</w:t>
            </w:r>
          </w:p>
        </w:tc>
        <w:tc>
          <w:tcPr>
            <w:tcW w:w="5770" w:type="dxa"/>
          </w:tcPr>
          <w:p w:rsidR="000141BB" w:rsidRPr="00187666" w:rsidRDefault="00D449B5" w:rsidP="001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66">
              <w:rPr>
                <w:rFonts w:ascii="Times New Roman" w:hAnsi="Times New Roman" w:cs="Times New Roman"/>
                <w:sz w:val="28"/>
                <w:szCs w:val="28"/>
              </w:rPr>
              <w:t>На этапе развития неклассической науки (19-20 век), педагогическая теория развивалась под влиянием позитивизма, прагматизм, сенсуализм, философия</w:t>
            </w:r>
            <w:r w:rsidR="0018766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 w:rsidRPr="00187666">
              <w:rPr>
                <w:rFonts w:ascii="Times New Roman" w:hAnsi="Times New Roman" w:cs="Times New Roman"/>
                <w:sz w:val="28"/>
                <w:szCs w:val="28"/>
              </w:rPr>
              <w:t>, обращение к нравст</w:t>
            </w:r>
            <w:r w:rsidR="00187666">
              <w:rPr>
                <w:rFonts w:ascii="Times New Roman" w:hAnsi="Times New Roman" w:cs="Times New Roman"/>
                <w:sz w:val="28"/>
                <w:szCs w:val="28"/>
              </w:rPr>
              <w:t>венным проблемам человечества</w:t>
            </w:r>
            <w:r w:rsidRPr="00187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A40FF" w:rsidRDefault="00DA40FF"/>
    <w:sectPr w:rsidR="00DA40FF" w:rsidSect="00DA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1BB"/>
    <w:rsid w:val="000141BB"/>
    <w:rsid w:val="00187666"/>
    <w:rsid w:val="00642C1E"/>
    <w:rsid w:val="00D449B5"/>
    <w:rsid w:val="00DA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2016-09-18T16:01:00Z</dcterms:created>
  <dcterms:modified xsi:type="dcterms:W3CDTF">2016-09-18T16:45:00Z</dcterms:modified>
</cp:coreProperties>
</file>